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E2" w:rsidRPr="00C414A8" w:rsidRDefault="00F87CE2" w:rsidP="006D06E8">
      <w:pPr>
        <w:pStyle w:val="BodyText"/>
        <w:tabs>
          <w:tab w:val="num" w:pos="840"/>
        </w:tabs>
        <w:spacing w:before="20" w:after="20" w:line="276" w:lineRule="auto"/>
        <w:ind w:right="-1"/>
        <w:contextualSpacing/>
        <w:jc w:val="center"/>
        <w:rPr>
          <w:b/>
          <w:szCs w:val="24"/>
          <w:lang w:val="el-GR"/>
        </w:rPr>
      </w:pPr>
      <w:r w:rsidRPr="00C414A8">
        <w:rPr>
          <w:b/>
          <w:szCs w:val="24"/>
          <w:lang w:val="el-GR"/>
        </w:rPr>
        <w:t>ΥΠΟΥΡΓΕΙΟ  ΕΡΓΑΣΙΑΣ</w:t>
      </w:r>
      <w:r w:rsidR="00286439">
        <w:rPr>
          <w:b/>
          <w:szCs w:val="24"/>
          <w:lang w:val="el-GR"/>
        </w:rPr>
        <w:t>,</w:t>
      </w:r>
      <w:r w:rsidRPr="00C414A8">
        <w:rPr>
          <w:b/>
          <w:szCs w:val="24"/>
          <w:lang w:val="el-GR"/>
        </w:rPr>
        <w:t xml:space="preserve"> ΠΡΟΝΟΙΑΣ ΚΑΙ ΚΟΙΝΩΝΙΚΩΝ ΑΣΦΑΛΙΣΕΩΝ</w:t>
      </w:r>
    </w:p>
    <w:p w:rsidR="00F87CE2" w:rsidRPr="00C414A8" w:rsidRDefault="00F87CE2" w:rsidP="006D06E8">
      <w:pPr>
        <w:spacing w:line="276" w:lineRule="auto"/>
        <w:rPr>
          <w:b/>
          <w:sz w:val="22"/>
          <w:lang w:val="el-GR"/>
        </w:rPr>
      </w:pPr>
    </w:p>
    <w:p w:rsidR="00286439" w:rsidRDefault="00286439" w:rsidP="006D06E8">
      <w:pPr>
        <w:spacing w:line="276" w:lineRule="auto"/>
        <w:jc w:val="center"/>
        <w:rPr>
          <w:b/>
          <w:sz w:val="22"/>
          <w:lang w:val="el-GR"/>
        </w:rPr>
      </w:pPr>
    </w:p>
    <w:p w:rsidR="002C2CB6" w:rsidRPr="005D667A" w:rsidRDefault="002C2CB6" w:rsidP="006D06E8">
      <w:pPr>
        <w:spacing w:after="240" w:line="276" w:lineRule="auto"/>
        <w:jc w:val="both"/>
        <w:rPr>
          <w:rFonts w:cs="Arial"/>
          <w:sz w:val="22"/>
          <w:lang w:val="el-GR"/>
        </w:rPr>
      </w:pPr>
      <w:r w:rsidRPr="005D667A">
        <w:rPr>
          <w:rFonts w:cs="Arial"/>
          <w:sz w:val="22"/>
          <w:lang w:val="el-GR"/>
        </w:rPr>
        <w:t xml:space="preserve">Κατά τη </w:t>
      </w:r>
      <w:r w:rsidR="006351D4" w:rsidRPr="005D667A">
        <w:rPr>
          <w:rFonts w:cs="Arial"/>
          <w:sz w:val="22"/>
          <w:lang w:val="el-GR"/>
        </w:rPr>
        <w:t>χθεσινή</w:t>
      </w:r>
      <w:r w:rsidRPr="005D667A">
        <w:rPr>
          <w:rFonts w:cs="Arial"/>
          <w:sz w:val="22"/>
          <w:lang w:val="el-GR"/>
        </w:rPr>
        <w:t xml:space="preserve"> συνεδρία του Υπουργικού Συμβουλίου</w:t>
      </w:r>
      <w:r w:rsidR="000C2145" w:rsidRPr="005D667A">
        <w:rPr>
          <w:rFonts w:cs="Arial"/>
          <w:sz w:val="22"/>
          <w:lang w:val="el-GR"/>
        </w:rPr>
        <w:t xml:space="preserve">, </w:t>
      </w:r>
      <w:r w:rsidRPr="005D667A">
        <w:rPr>
          <w:rFonts w:cs="Arial"/>
          <w:sz w:val="22"/>
          <w:lang w:val="el-GR"/>
        </w:rPr>
        <w:t xml:space="preserve">εγκρίθηκαν οι προτάσεις της Υπουργού Εργασίας, Πρόνοιας και Κοινωνικών Ασφαλίσεων </w:t>
      </w:r>
      <w:r w:rsidR="006351D4" w:rsidRPr="005D667A">
        <w:rPr>
          <w:rFonts w:cs="Arial"/>
          <w:sz w:val="22"/>
          <w:lang w:val="el-GR"/>
        </w:rPr>
        <w:t>για</w:t>
      </w:r>
      <w:r w:rsidRPr="005D667A">
        <w:rPr>
          <w:rFonts w:cs="Arial"/>
          <w:sz w:val="22"/>
          <w:lang w:val="el-GR"/>
        </w:rPr>
        <w:t xml:space="preserve"> </w:t>
      </w:r>
      <w:r w:rsidR="000C2145" w:rsidRPr="005D667A">
        <w:rPr>
          <w:rFonts w:cs="Arial"/>
          <w:sz w:val="22"/>
          <w:lang w:val="el-GR"/>
        </w:rPr>
        <w:t>τ</w:t>
      </w:r>
      <w:r w:rsidR="001B0E3B" w:rsidRPr="005D667A">
        <w:rPr>
          <w:rFonts w:cs="Arial"/>
          <w:sz w:val="22"/>
          <w:lang w:val="el-GR"/>
        </w:rPr>
        <w:t xml:space="preserve">ην αύξηση του </w:t>
      </w:r>
      <w:r w:rsidR="006351D4" w:rsidRPr="005D667A">
        <w:rPr>
          <w:rFonts w:cs="Arial"/>
          <w:sz w:val="22"/>
          <w:lang w:val="el-GR"/>
        </w:rPr>
        <w:t>Ε</w:t>
      </w:r>
      <w:r w:rsidR="001B0E3B" w:rsidRPr="005D667A">
        <w:rPr>
          <w:rFonts w:cs="Arial"/>
          <w:sz w:val="22"/>
          <w:lang w:val="el-GR"/>
        </w:rPr>
        <w:t xml:space="preserve">πιδόματος </w:t>
      </w:r>
      <w:r w:rsidR="006351D4" w:rsidRPr="005D667A">
        <w:rPr>
          <w:rFonts w:cs="Arial"/>
          <w:sz w:val="22"/>
          <w:lang w:val="el-GR"/>
        </w:rPr>
        <w:t>Χ</w:t>
      </w:r>
      <w:r w:rsidR="001B0E3B" w:rsidRPr="005D667A">
        <w:rPr>
          <w:rFonts w:cs="Arial"/>
          <w:sz w:val="22"/>
          <w:lang w:val="el-GR"/>
        </w:rPr>
        <w:t xml:space="preserve">αμηλοσυνταξιούχων και </w:t>
      </w:r>
      <w:r w:rsidR="006351D4" w:rsidRPr="005D667A">
        <w:rPr>
          <w:rFonts w:cs="Arial"/>
          <w:sz w:val="22"/>
          <w:lang w:val="el-GR"/>
        </w:rPr>
        <w:t xml:space="preserve">για να δημιουργηθεί το </w:t>
      </w:r>
      <w:r w:rsidR="001B0E3B" w:rsidRPr="005D667A">
        <w:rPr>
          <w:rFonts w:cs="Arial"/>
          <w:sz w:val="22"/>
          <w:lang w:val="el-GR"/>
        </w:rPr>
        <w:t>«</w:t>
      </w:r>
      <w:r w:rsidR="006351D4" w:rsidRPr="005D667A">
        <w:rPr>
          <w:rFonts w:cs="Arial"/>
          <w:sz w:val="22"/>
          <w:lang w:val="el-GR"/>
        </w:rPr>
        <w:t xml:space="preserve">Σπίτι </w:t>
      </w:r>
      <w:r w:rsidR="001B0E3B" w:rsidRPr="005D667A">
        <w:rPr>
          <w:rFonts w:cs="Arial"/>
          <w:sz w:val="22"/>
          <w:lang w:val="el-GR"/>
        </w:rPr>
        <w:t>της Γυναίκας».</w:t>
      </w:r>
    </w:p>
    <w:p w:rsidR="001B0E3B" w:rsidRPr="005D667A" w:rsidRDefault="001B0E3B" w:rsidP="001B0E3B">
      <w:pPr>
        <w:spacing w:after="240" w:line="276" w:lineRule="auto"/>
        <w:jc w:val="center"/>
        <w:rPr>
          <w:rFonts w:cs="Arial"/>
          <w:sz w:val="22"/>
          <w:lang w:val="el-GR"/>
        </w:rPr>
      </w:pPr>
      <w:r w:rsidRPr="005D667A">
        <w:rPr>
          <w:rFonts w:cs="Arial"/>
          <w:b/>
          <w:sz w:val="22"/>
          <w:u w:val="single"/>
          <w:lang w:val="el-GR"/>
        </w:rPr>
        <w:t>Αύξηση στο Επίδομα Χαμηλοσυνταξιούχων</w:t>
      </w:r>
      <w:r w:rsidR="000C2145" w:rsidRPr="005D667A">
        <w:rPr>
          <w:rFonts w:cs="Arial"/>
          <w:b/>
          <w:sz w:val="22"/>
          <w:u w:val="single"/>
          <w:lang w:val="el-GR"/>
        </w:rPr>
        <w:t>:</w:t>
      </w:r>
    </w:p>
    <w:p w:rsidR="00B35B06" w:rsidRDefault="00B35B06" w:rsidP="00B35B06">
      <w:pPr>
        <w:spacing w:after="240" w:line="276" w:lineRule="auto"/>
        <w:jc w:val="both"/>
        <w:rPr>
          <w:rFonts w:cs="Arial"/>
          <w:sz w:val="22"/>
          <w:lang w:val="el-GR"/>
        </w:rPr>
      </w:pPr>
      <w:r w:rsidRPr="005D667A">
        <w:rPr>
          <w:rFonts w:cs="Arial"/>
          <w:sz w:val="22"/>
          <w:lang w:val="el-GR"/>
        </w:rPr>
        <w:t>Το Επίδομα Χαμηλοσυνταξιούχων (μικρή επιταγή) παραχωρείται σε συνταξιούχους των οποίων τα εισοδήματα δεν υπερβαίνουν το όριο της φτώχειας, όπως αυτό καθορίζεται κάθε χρόνο με απόφαση του Υπουργικού Συμβουλίου. Λαμβάνοντας υπόψη την πάγια θέση πολιτικής του Προέδρου της Κυπριακής Δημοκρατίας για τη συνεχή ενίσχυση και αναβάθμιση της στήριξης που παρέχεται στις ευάλωτες κοινωνικές ομάδες που πραγματικά έχουν ανάγκη στήριξης και, επιπλέον, για σταδιακή αύξηση των χαμηλών συντάξεων μέσω της αύξησης του επιδόματος χαμηλοσυνταξιούχων, το Υπουργικό Συμβούλιο ενέκρινε την εισήγηση της Υπουργού Εργασίας, Πρόνοιας και Κοινωνικών ως ακολούθως:</w:t>
      </w:r>
    </w:p>
    <w:p w:rsidR="0017341C" w:rsidRDefault="0017341C" w:rsidP="00B35B06">
      <w:pPr>
        <w:spacing w:after="240" w:line="276" w:lineRule="auto"/>
        <w:jc w:val="both"/>
        <w:rPr>
          <w:rFonts w:cs="Arial"/>
          <w:sz w:val="22"/>
          <w:lang w:val="el-GR"/>
        </w:rPr>
      </w:pPr>
      <w:r>
        <w:rPr>
          <w:rFonts w:cs="Arial"/>
          <w:sz w:val="22"/>
          <w:lang w:val="el-GR"/>
        </w:rPr>
        <w:t xml:space="preserve">(α) Τη μη διαφοροποίηση του εισοδηματικού κριτηρίου για την παροχή του Επιδόματος Χαμηλοσυνταξιούχων και τη διατήρηση του κατά 20% πάνω από το όριο της φτώχειας. Σημειώνεται ότι το όριο της φτώχειας είναι €8.698 για ένα πρόσωπο και 13.047 για δύο πρόσωπα ενώ το εισοδηματικό όριο για παροχή Επιδόματος Χαμηλοσυνταξιούχων διατηρήθηκε </w:t>
      </w:r>
      <w:r>
        <w:rPr>
          <w:rFonts w:cs="Arial"/>
          <w:sz w:val="22"/>
          <w:lang w:val="el-GR"/>
        </w:rPr>
        <w:t xml:space="preserve">στα €10.324 για ένα πρόσωπο και στα </w:t>
      </w:r>
      <w:r>
        <w:rPr>
          <w:rFonts w:cs="Arial"/>
          <w:sz w:val="22"/>
          <w:lang w:val="el-GR"/>
        </w:rPr>
        <w:t>€</w:t>
      </w:r>
      <w:r>
        <w:rPr>
          <w:rFonts w:cs="Arial"/>
          <w:sz w:val="22"/>
          <w:lang w:val="el-GR"/>
        </w:rPr>
        <w:t>15.486 για δύο πρόσωπα</w:t>
      </w:r>
      <w:r>
        <w:rPr>
          <w:rFonts w:cs="Arial"/>
          <w:sz w:val="22"/>
          <w:lang w:val="el-GR"/>
        </w:rPr>
        <w:t>.</w:t>
      </w:r>
    </w:p>
    <w:p w:rsidR="0017341C" w:rsidRPr="005D667A" w:rsidRDefault="0017341C" w:rsidP="00B35B06">
      <w:pPr>
        <w:spacing w:after="240" w:line="276" w:lineRule="auto"/>
        <w:jc w:val="both"/>
        <w:rPr>
          <w:rFonts w:cs="Arial"/>
          <w:sz w:val="22"/>
          <w:lang w:val="el-GR"/>
        </w:rPr>
      </w:pPr>
      <w:r>
        <w:rPr>
          <w:rFonts w:cs="Arial"/>
          <w:sz w:val="22"/>
          <w:lang w:val="el-GR"/>
        </w:rPr>
        <w:t>(β) Την αύξηση στο Επίδομα Χαμηλοσυνταξιούχων ως ακολούθως:</w:t>
      </w:r>
      <w:bookmarkStart w:id="0" w:name="_GoBack"/>
      <w:bookmarkEnd w:id="0"/>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6"/>
        <w:gridCol w:w="1866"/>
        <w:gridCol w:w="2037"/>
        <w:gridCol w:w="1765"/>
        <w:gridCol w:w="1765"/>
      </w:tblGrid>
      <w:tr w:rsidR="005D667A" w:rsidRPr="00596A78" w:rsidTr="005D667A">
        <w:trPr>
          <w:trHeight w:val="1086"/>
          <w:jc w:val="center"/>
        </w:trPr>
        <w:tc>
          <w:tcPr>
            <w:tcW w:w="1626" w:type="dxa"/>
            <w:tcBorders>
              <w:top w:val="single" w:sz="12" w:space="0" w:color="auto"/>
              <w:bottom w:val="single" w:sz="4" w:space="0" w:color="auto"/>
            </w:tcBorders>
            <w:vAlign w:val="center"/>
          </w:tcPr>
          <w:p w:rsidR="005D667A" w:rsidRDefault="005D667A" w:rsidP="00854F12">
            <w:pPr>
              <w:autoSpaceDE w:val="0"/>
              <w:autoSpaceDN w:val="0"/>
              <w:adjustRightInd w:val="0"/>
              <w:jc w:val="center"/>
              <w:rPr>
                <w:rFonts w:cs="Arial"/>
                <w:b/>
                <w:sz w:val="20"/>
                <w:lang w:val="el-GR"/>
              </w:rPr>
            </w:pPr>
            <w:r w:rsidRPr="00596A78">
              <w:rPr>
                <w:rFonts w:cs="Arial"/>
                <w:b/>
                <w:sz w:val="20"/>
                <w:lang w:val="el-GR"/>
              </w:rPr>
              <w:t>Ύψος ετήσιου εισοδήματος</w:t>
            </w:r>
          </w:p>
          <w:p w:rsidR="005D667A" w:rsidRDefault="005D667A" w:rsidP="00854F12">
            <w:pPr>
              <w:autoSpaceDE w:val="0"/>
              <w:autoSpaceDN w:val="0"/>
              <w:adjustRightInd w:val="0"/>
              <w:jc w:val="center"/>
              <w:rPr>
                <w:rFonts w:cs="Arial"/>
                <w:b/>
                <w:sz w:val="20"/>
                <w:lang w:val="el-GR"/>
              </w:rPr>
            </w:pPr>
            <w:r>
              <w:rPr>
                <w:rFonts w:cs="Arial"/>
                <w:b/>
                <w:sz w:val="20"/>
                <w:lang w:val="el-GR"/>
              </w:rPr>
              <w:t>(για μονήρη)</w:t>
            </w:r>
          </w:p>
          <w:p w:rsidR="005D667A" w:rsidRPr="00596A78" w:rsidRDefault="005D667A" w:rsidP="00854F12">
            <w:pPr>
              <w:autoSpaceDE w:val="0"/>
              <w:autoSpaceDN w:val="0"/>
              <w:adjustRightInd w:val="0"/>
              <w:jc w:val="center"/>
              <w:rPr>
                <w:rFonts w:cs="Arial"/>
                <w:b/>
                <w:sz w:val="20"/>
                <w:lang w:val="el-GR"/>
              </w:rPr>
            </w:pPr>
            <w:r>
              <w:rPr>
                <w:rFonts w:cs="Arial"/>
                <w:b/>
                <w:sz w:val="20"/>
                <w:lang w:val="el-GR"/>
              </w:rPr>
              <w:t>€</w:t>
            </w:r>
          </w:p>
        </w:tc>
        <w:tc>
          <w:tcPr>
            <w:tcW w:w="1866" w:type="dxa"/>
            <w:tcBorders>
              <w:top w:val="single" w:sz="12" w:space="0" w:color="auto"/>
              <w:bottom w:val="single" w:sz="4" w:space="0" w:color="auto"/>
            </w:tcBorders>
            <w:vAlign w:val="center"/>
          </w:tcPr>
          <w:p w:rsidR="005D667A" w:rsidRDefault="005D667A" w:rsidP="00854F12">
            <w:pPr>
              <w:autoSpaceDE w:val="0"/>
              <w:autoSpaceDN w:val="0"/>
              <w:adjustRightInd w:val="0"/>
              <w:jc w:val="center"/>
              <w:rPr>
                <w:rFonts w:cs="Arial"/>
                <w:b/>
                <w:sz w:val="20"/>
                <w:lang w:val="el-GR"/>
              </w:rPr>
            </w:pPr>
            <w:r w:rsidRPr="00596A78">
              <w:rPr>
                <w:rFonts w:cs="Arial"/>
                <w:b/>
                <w:sz w:val="20"/>
                <w:lang w:val="el-GR"/>
              </w:rPr>
              <w:t>Υφιστάμενο Μηνιαίο Επίδομα</w:t>
            </w:r>
          </w:p>
          <w:p w:rsidR="005D667A" w:rsidRPr="00596A78" w:rsidRDefault="005D667A" w:rsidP="00854F12">
            <w:pPr>
              <w:autoSpaceDE w:val="0"/>
              <w:autoSpaceDN w:val="0"/>
              <w:adjustRightInd w:val="0"/>
              <w:jc w:val="center"/>
              <w:rPr>
                <w:rFonts w:cs="Arial"/>
                <w:b/>
                <w:sz w:val="20"/>
                <w:lang w:val="el-GR"/>
              </w:rPr>
            </w:pPr>
            <w:r>
              <w:rPr>
                <w:rFonts w:cs="Arial"/>
                <w:b/>
                <w:sz w:val="20"/>
                <w:lang w:val="el-GR"/>
              </w:rPr>
              <w:t>€</w:t>
            </w:r>
          </w:p>
        </w:tc>
        <w:tc>
          <w:tcPr>
            <w:tcW w:w="2037" w:type="dxa"/>
            <w:tcBorders>
              <w:top w:val="single" w:sz="12" w:space="0" w:color="auto"/>
              <w:left w:val="single" w:sz="12" w:space="0" w:color="auto"/>
              <w:bottom w:val="single" w:sz="4" w:space="0" w:color="auto"/>
            </w:tcBorders>
            <w:vAlign w:val="center"/>
          </w:tcPr>
          <w:p w:rsidR="005D667A" w:rsidRDefault="005D667A" w:rsidP="00854F12">
            <w:pPr>
              <w:autoSpaceDE w:val="0"/>
              <w:autoSpaceDN w:val="0"/>
              <w:adjustRightInd w:val="0"/>
              <w:jc w:val="center"/>
              <w:rPr>
                <w:rFonts w:cs="Arial"/>
                <w:b/>
                <w:sz w:val="20"/>
                <w:lang w:val="el-GR"/>
              </w:rPr>
            </w:pPr>
            <w:r>
              <w:rPr>
                <w:rFonts w:cs="Arial"/>
                <w:b/>
                <w:sz w:val="20"/>
                <w:lang w:val="el-GR"/>
              </w:rPr>
              <w:t>Νέο Μηνιαίο Επίδομα για 2019</w:t>
            </w:r>
          </w:p>
          <w:p w:rsidR="005D667A" w:rsidRPr="00596A78" w:rsidRDefault="005D667A" w:rsidP="00854F12">
            <w:pPr>
              <w:autoSpaceDE w:val="0"/>
              <w:autoSpaceDN w:val="0"/>
              <w:adjustRightInd w:val="0"/>
              <w:jc w:val="center"/>
              <w:rPr>
                <w:rFonts w:cs="Arial"/>
                <w:b/>
                <w:sz w:val="20"/>
                <w:lang w:val="el-GR"/>
              </w:rPr>
            </w:pPr>
            <w:r>
              <w:rPr>
                <w:rFonts w:cs="Arial"/>
                <w:b/>
                <w:sz w:val="20"/>
                <w:lang w:val="el-GR"/>
              </w:rPr>
              <w:t>€</w:t>
            </w:r>
          </w:p>
        </w:tc>
        <w:tc>
          <w:tcPr>
            <w:tcW w:w="1765" w:type="dxa"/>
            <w:tcBorders>
              <w:top w:val="single" w:sz="12" w:space="0" w:color="auto"/>
              <w:left w:val="single" w:sz="12" w:space="0" w:color="auto"/>
              <w:bottom w:val="single" w:sz="4" w:space="0" w:color="auto"/>
            </w:tcBorders>
            <w:vAlign w:val="center"/>
          </w:tcPr>
          <w:p w:rsidR="005D667A" w:rsidRDefault="005D667A" w:rsidP="00854F12">
            <w:pPr>
              <w:autoSpaceDE w:val="0"/>
              <w:autoSpaceDN w:val="0"/>
              <w:adjustRightInd w:val="0"/>
              <w:jc w:val="center"/>
              <w:rPr>
                <w:rFonts w:cs="Arial"/>
                <w:b/>
                <w:sz w:val="20"/>
                <w:lang w:val="el-GR"/>
              </w:rPr>
            </w:pPr>
            <w:r>
              <w:rPr>
                <w:rFonts w:cs="Arial"/>
                <w:b/>
                <w:sz w:val="20"/>
                <w:lang w:val="el-GR"/>
              </w:rPr>
              <w:t>Αύξηση για το 2019</w:t>
            </w:r>
          </w:p>
          <w:p w:rsidR="005D667A" w:rsidRDefault="005D667A" w:rsidP="00854F12">
            <w:pPr>
              <w:autoSpaceDE w:val="0"/>
              <w:autoSpaceDN w:val="0"/>
              <w:adjustRightInd w:val="0"/>
              <w:jc w:val="center"/>
              <w:rPr>
                <w:rFonts w:cs="Arial"/>
                <w:b/>
                <w:sz w:val="20"/>
                <w:lang w:val="el-GR"/>
              </w:rPr>
            </w:pPr>
            <w:r>
              <w:rPr>
                <w:rFonts w:cs="Arial"/>
                <w:b/>
                <w:sz w:val="20"/>
                <w:lang w:val="el-GR"/>
              </w:rPr>
              <w:t>€</w:t>
            </w:r>
          </w:p>
        </w:tc>
        <w:tc>
          <w:tcPr>
            <w:tcW w:w="1765" w:type="dxa"/>
            <w:tcBorders>
              <w:top w:val="single" w:sz="12" w:space="0" w:color="auto"/>
              <w:left w:val="single" w:sz="12" w:space="0" w:color="auto"/>
              <w:bottom w:val="single" w:sz="4" w:space="0" w:color="auto"/>
            </w:tcBorders>
            <w:vAlign w:val="center"/>
          </w:tcPr>
          <w:p w:rsidR="005D667A" w:rsidRDefault="005D667A" w:rsidP="005D667A">
            <w:pPr>
              <w:autoSpaceDE w:val="0"/>
              <w:autoSpaceDN w:val="0"/>
              <w:adjustRightInd w:val="0"/>
              <w:jc w:val="center"/>
              <w:rPr>
                <w:rFonts w:cs="Arial"/>
                <w:b/>
                <w:sz w:val="20"/>
                <w:lang w:val="el-GR"/>
              </w:rPr>
            </w:pPr>
            <w:r>
              <w:rPr>
                <w:rFonts w:cs="Arial"/>
                <w:b/>
                <w:sz w:val="20"/>
                <w:lang w:val="el-GR"/>
              </w:rPr>
              <w:t>Ποσοστιαία αύξηση επιδόματος</w:t>
            </w:r>
          </w:p>
          <w:p w:rsidR="005D667A" w:rsidRPr="005D667A" w:rsidRDefault="005D667A" w:rsidP="005D667A">
            <w:pPr>
              <w:autoSpaceDE w:val="0"/>
              <w:autoSpaceDN w:val="0"/>
              <w:adjustRightInd w:val="0"/>
              <w:jc w:val="center"/>
              <w:rPr>
                <w:rFonts w:cs="Arial"/>
                <w:b/>
                <w:sz w:val="20"/>
                <w:lang w:val="el-GR"/>
              </w:rPr>
            </w:pPr>
            <w:r>
              <w:rPr>
                <w:rFonts w:cs="Arial"/>
                <w:b/>
                <w:sz w:val="20"/>
                <w:lang w:val="el-GR"/>
              </w:rPr>
              <w:t>%</w:t>
            </w:r>
          </w:p>
        </w:tc>
      </w:tr>
      <w:tr w:rsidR="005D667A" w:rsidRPr="00596A78" w:rsidTr="005E3E0C">
        <w:trPr>
          <w:jc w:val="center"/>
        </w:trPr>
        <w:tc>
          <w:tcPr>
            <w:tcW w:w="1626" w:type="dxa"/>
            <w:tcBorders>
              <w:top w:val="single" w:sz="4" w:space="0" w:color="auto"/>
              <w:bottom w:val="single" w:sz="4" w:space="0" w:color="auto"/>
            </w:tcBorders>
            <w:vAlign w:val="center"/>
          </w:tcPr>
          <w:p w:rsidR="005D667A" w:rsidRDefault="005D667A" w:rsidP="00854F12">
            <w:pPr>
              <w:jc w:val="center"/>
              <w:rPr>
                <w:rFonts w:cs="Arial"/>
                <w:color w:val="000000"/>
                <w:sz w:val="20"/>
              </w:rPr>
            </w:pPr>
            <w:r>
              <w:rPr>
                <w:rFonts w:cs="Arial"/>
                <w:color w:val="000000"/>
                <w:sz w:val="20"/>
              </w:rPr>
              <w:t>0-5.162</w:t>
            </w:r>
          </w:p>
        </w:tc>
        <w:tc>
          <w:tcPr>
            <w:tcW w:w="1866" w:type="dxa"/>
            <w:tcBorders>
              <w:top w:val="single" w:sz="4" w:space="0" w:color="auto"/>
              <w:bottom w:val="single" w:sz="4" w:space="0" w:color="auto"/>
            </w:tcBorders>
            <w:vAlign w:val="center"/>
          </w:tcPr>
          <w:p w:rsidR="005D667A" w:rsidRDefault="005D667A" w:rsidP="00854F12">
            <w:pPr>
              <w:jc w:val="center"/>
              <w:rPr>
                <w:rFonts w:ascii="Calibri" w:hAnsi="Calibri"/>
                <w:b/>
                <w:bCs/>
                <w:color w:val="000000"/>
                <w:sz w:val="22"/>
                <w:szCs w:val="22"/>
              </w:rPr>
            </w:pPr>
            <w:r>
              <w:rPr>
                <w:rFonts w:ascii="Calibri" w:hAnsi="Calibri"/>
                <w:b/>
                <w:bCs/>
                <w:color w:val="000000"/>
                <w:sz w:val="22"/>
                <w:szCs w:val="22"/>
              </w:rPr>
              <w:t>170</w:t>
            </w:r>
          </w:p>
        </w:tc>
        <w:tc>
          <w:tcPr>
            <w:tcW w:w="2037" w:type="dxa"/>
            <w:tcBorders>
              <w:top w:val="single" w:sz="4" w:space="0" w:color="auto"/>
              <w:left w:val="single" w:sz="12" w:space="0" w:color="auto"/>
              <w:bottom w:val="single" w:sz="4" w:space="0" w:color="auto"/>
            </w:tcBorders>
            <w:vAlign w:val="center"/>
          </w:tcPr>
          <w:p w:rsidR="005D667A" w:rsidRPr="00C758C4" w:rsidRDefault="005D667A" w:rsidP="00854F12">
            <w:pPr>
              <w:jc w:val="center"/>
              <w:rPr>
                <w:rFonts w:ascii="Calibri" w:hAnsi="Calibri"/>
                <w:b/>
                <w:bCs/>
                <w:color w:val="000000"/>
                <w:sz w:val="22"/>
                <w:szCs w:val="22"/>
                <w:lang w:val="el-GR"/>
              </w:rPr>
            </w:pPr>
            <w:r>
              <w:rPr>
                <w:rFonts w:ascii="Calibri" w:hAnsi="Calibri"/>
                <w:b/>
                <w:bCs/>
                <w:color w:val="000000"/>
                <w:sz w:val="22"/>
                <w:szCs w:val="22"/>
                <w:lang w:val="el-GR"/>
              </w:rPr>
              <w:t>220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ascii="Calibri" w:hAnsi="Calibri"/>
                <w:b/>
                <w:bCs/>
                <w:color w:val="000000"/>
                <w:sz w:val="22"/>
                <w:szCs w:val="22"/>
                <w:lang w:val="el-GR"/>
              </w:rPr>
            </w:pPr>
            <w:r>
              <w:rPr>
                <w:rFonts w:ascii="Calibri" w:hAnsi="Calibri"/>
                <w:b/>
                <w:bCs/>
                <w:color w:val="000000"/>
                <w:sz w:val="22"/>
                <w:szCs w:val="22"/>
                <w:lang w:val="el-GR"/>
              </w:rPr>
              <w:t>+50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ascii="Calibri" w:hAnsi="Calibri"/>
                <w:b/>
                <w:bCs/>
                <w:color w:val="000000"/>
                <w:sz w:val="22"/>
                <w:szCs w:val="22"/>
                <w:lang w:val="el-GR"/>
              </w:rPr>
            </w:pPr>
            <w:r>
              <w:rPr>
                <w:rFonts w:ascii="Calibri" w:hAnsi="Calibri"/>
                <w:b/>
                <w:bCs/>
                <w:color w:val="000000"/>
                <w:sz w:val="22"/>
                <w:szCs w:val="22"/>
                <w:lang w:val="el-GR"/>
              </w:rPr>
              <w:t>+29,41%</w:t>
            </w:r>
          </w:p>
        </w:tc>
      </w:tr>
      <w:tr w:rsidR="005D667A" w:rsidRPr="00596A78" w:rsidTr="005E3E0C">
        <w:trPr>
          <w:jc w:val="center"/>
        </w:trPr>
        <w:tc>
          <w:tcPr>
            <w:tcW w:w="1626" w:type="dxa"/>
            <w:tcBorders>
              <w:top w:val="single" w:sz="4" w:space="0" w:color="auto"/>
              <w:bottom w:val="single" w:sz="4" w:space="0" w:color="auto"/>
            </w:tcBorders>
            <w:vAlign w:val="center"/>
          </w:tcPr>
          <w:p w:rsidR="005D667A" w:rsidRDefault="005D667A" w:rsidP="00854F12">
            <w:pPr>
              <w:jc w:val="center"/>
              <w:rPr>
                <w:rFonts w:cs="Arial"/>
                <w:color w:val="000000"/>
                <w:sz w:val="20"/>
              </w:rPr>
            </w:pPr>
            <w:r>
              <w:rPr>
                <w:rFonts w:cs="Arial"/>
                <w:color w:val="000000"/>
                <w:sz w:val="20"/>
              </w:rPr>
              <w:t>5.163-5.678</w:t>
            </w:r>
          </w:p>
        </w:tc>
        <w:tc>
          <w:tcPr>
            <w:tcW w:w="1866" w:type="dxa"/>
            <w:tcBorders>
              <w:top w:val="single" w:sz="4" w:space="0" w:color="auto"/>
              <w:bottom w:val="single" w:sz="4" w:space="0" w:color="auto"/>
            </w:tcBorders>
            <w:vAlign w:val="center"/>
          </w:tcPr>
          <w:p w:rsidR="005D667A" w:rsidRDefault="005D667A" w:rsidP="00854F12">
            <w:pPr>
              <w:jc w:val="center"/>
              <w:rPr>
                <w:rFonts w:ascii="Calibri" w:hAnsi="Calibri"/>
                <w:b/>
                <w:bCs/>
                <w:color w:val="000000"/>
                <w:sz w:val="22"/>
                <w:szCs w:val="22"/>
              </w:rPr>
            </w:pPr>
            <w:r>
              <w:rPr>
                <w:rFonts w:ascii="Calibri" w:hAnsi="Calibri"/>
                <w:b/>
                <w:bCs/>
                <w:color w:val="000000"/>
                <w:sz w:val="22"/>
                <w:szCs w:val="22"/>
              </w:rPr>
              <w:t>160</w:t>
            </w:r>
          </w:p>
        </w:tc>
        <w:tc>
          <w:tcPr>
            <w:tcW w:w="2037" w:type="dxa"/>
            <w:tcBorders>
              <w:top w:val="single" w:sz="4" w:space="0" w:color="auto"/>
              <w:left w:val="single" w:sz="12" w:space="0" w:color="auto"/>
              <w:bottom w:val="single" w:sz="4" w:space="0" w:color="auto"/>
            </w:tcBorders>
            <w:vAlign w:val="center"/>
          </w:tcPr>
          <w:p w:rsidR="005D667A" w:rsidRPr="00C758C4" w:rsidRDefault="005D667A" w:rsidP="00854F12">
            <w:pPr>
              <w:jc w:val="center"/>
              <w:rPr>
                <w:rFonts w:ascii="Calibri" w:hAnsi="Calibri"/>
                <w:b/>
                <w:bCs/>
                <w:color w:val="000000"/>
                <w:sz w:val="22"/>
                <w:szCs w:val="22"/>
                <w:lang w:val="el-GR"/>
              </w:rPr>
            </w:pPr>
            <w:r>
              <w:rPr>
                <w:rFonts w:ascii="Calibri" w:hAnsi="Calibri"/>
                <w:b/>
                <w:bCs/>
                <w:color w:val="000000"/>
                <w:sz w:val="22"/>
                <w:szCs w:val="22"/>
                <w:lang w:val="el-GR"/>
              </w:rPr>
              <w:t>210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ascii="Calibri" w:hAnsi="Calibri"/>
                <w:b/>
                <w:bCs/>
                <w:color w:val="000000"/>
                <w:sz w:val="22"/>
                <w:szCs w:val="22"/>
                <w:lang w:val="el-GR"/>
              </w:rPr>
            </w:pPr>
            <w:r>
              <w:rPr>
                <w:rFonts w:ascii="Calibri" w:hAnsi="Calibri"/>
                <w:b/>
                <w:bCs/>
                <w:color w:val="000000"/>
                <w:sz w:val="22"/>
                <w:szCs w:val="22"/>
                <w:lang w:val="el-GR"/>
              </w:rPr>
              <w:t>+50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ascii="Calibri" w:hAnsi="Calibri"/>
                <w:b/>
                <w:bCs/>
                <w:color w:val="000000"/>
                <w:sz w:val="22"/>
                <w:szCs w:val="22"/>
                <w:lang w:val="el-GR"/>
              </w:rPr>
            </w:pPr>
            <w:r>
              <w:rPr>
                <w:rFonts w:ascii="Calibri" w:hAnsi="Calibri"/>
                <w:b/>
                <w:bCs/>
                <w:color w:val="000000"/>
                <w:sz w:val="22"/>
                <w:szCs w:val="22"/>
                <w:lang w:val="el-GR"/>
              </w:rPr>
              <w:t>+</w:t>
            </w:r>
            <w:r>
              <w:rPr>
                <w:rFonts w:ascii="Calibri" w:hAnsi="Calibri"/>
                <w:b/>
                <w:bCs/>
                <w:color w:val="000000"/>
                <w:sz w:val="22"/>
                <w:szCs w:val="22"/>
                <w:lang w:val="el-GR"/>
              </w:rPr>
              <w:t>31,25%</w:t>
            </w:r>
          </w:p>
        </w:tc>
      </w:tr>
      <w:tr w:rsidR="005D667A" w:rsidRPr="00596A78" w:rsidTr="005E3E0C">
        <w:trPr>
          <w:jc w:val="center"/>
        </w:trPr>
        <w:tc>
          <w:tcPr>
            <w:tcW w:w="1626" w:type="dxa"/>
            <w:tcBorders>
              <w:top w:val="single" w:sz="4" w:space="0" w:color="auto"/>
              <w:bottom w:val="single" w:sz="4" w:space="0" w:color="auto"/>
            </w:tcBorders>
            <w:vAlign w:val="center"/>
          </w:tcPr>
          <w:p w:rsidR="005D667A" w:rsidRDefault="005D667A" w:rsidP="00854F12">
            <w:pPr>
              <w:jc w:val="center"/>
              <w:rPr>
                <w:rFonts w:cs="Arial"/>
                <w:color w:val="000000"/>
                <w:sz w:val="20"/>
              </w:rPr>
            </w:pPr>
            <w:r>
              <w:rPr>
                <w:rFonts w:cs="Arial"/>
                <w:color w:val="000000"/>
                <w:sz w:val="20"/>
              </w:rPr>
              <w:t>5.679-6.195</w:t>
            </w:r>
          </w:p>
        </w:tc>
        <w:tc>
          <w:tcPr>
            <w:tcW w:w="1866" w:type="dxa"/>
            <w:tcBorders>
              <w:top w:val="single" w:sz="4" w:space="0" w:color="auto"/>
              <w:bottom w:val="single" w:sz="4" w:space="0" w:color="auto"/>
            </w:tcBorders>
            <w:vAlign w:val="center"/>
          </w:tcPr>
          <w:p w:rsidR="005D667A" w:rsidRDefault="005D667A" w:rsidP="00854F12">
            <w:pPr>
              <w:jc w:val="center"/>
              <w:rPr>
                <w:rFonts w:ascii="Calibri" w:hAnsi="Calibri"/>
                <w:b/>
                <w:bCs/>
                <w:color w:val="000000"/>
                <w:sz w:val="22"/>
                <w:szCs w:val="22"/>
              </w:rPr>
            </w:pPr>
            <w:r>
              <w:rPr>
                <w:rFonts w:ascii="Calibri" w:hAnsi="Calibri"/>
                <w:b/>
                <w:bCs/>
                <w:color w:val="000000"/>
                <w:sz w:val="22"/>
                <w:szCs w:val="22"/>
              </w:rPr>
              <w:t>150</w:t>
            </w:r>
          </w:p>
        </w:tc>
        <w:tc>
          <w:tcPr>
            <w:tcW w:w="2037" w:type="dxa"/>
            <w:tcBorders>
              <w:top w:val="single" w:sz="4" w:space="0" w:color="auto"/>
              <w:left w:val="single" w:sz="12" w:space="0" w:color="auto"/>
              <w:bottom w:val="single" w:sz="4" w:space="0" w:color="auto"/>
            </w:tcBorders>
            <w:vAlign w:val="center"/>
          </w:tcPr>
          <w:p w:rsidR="005D667A" w:rsidRPr="00C758C4" w:rsidRDefault="005D667A" w:rsidP="00854F12">
            <w:pPr>
              <w:jc w:val="center"/>
              <w:rPr>
                <w:rFonts w:ascii="Calibri" w:hAnsi="Calibri"/>
                <w:b/>
                <w:bCs/>
                <w:color w:val="000000"/>
                <w:sz w:val="22"/>
                <w:szCs w:val="22"/>
                <w:lang w:val="el-GR"/>
              </w:rPr>
            </w:pPr>
            <w:r>
              <w:rPr>
                <w:rFonts w:ascii="Calibri" w:hAnsi="Calibri"/>
                <w:b/>
                <w:bCs/>
                <w:color w:val="000000"/>
                <w:sz w:val="22"/>
                <w:szCs w:val="22"/>
                <w:lang w:val="el-GR"/>
              </w:rPr>
              <w:t>200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ascii="Calibri" w:hAnsi="Calibri"/>
                <w:b/>
                <w:bCs/>
                <w:color w:val="000000"/>
                <w:sz w:val="22"/>
                <w:szCs w:val="22"/>
                <w:lang w:val="el-GR"/>
              </w:rPr>
            </w:pPr>
            <w:r>
              <w:rPr>
                <w:rFonts w:ascii="Calibri" w:hAnsi="Calibri"/>
                <w:b/>
                <w:bCs/>
                <w:color w:val="000000"/>
                <w:sz w:val="22"/>
                <w:szCs w:val="22"/>
                <w:lang w:val="el-GR"/>
              </w:rPr>
              <w:t>+50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ascii="Calibri" w:hAnsi="Calibri"/>
                <w:b/>
                <w:bCs/>
                <w:color w:val="000000"/>
                <w:sz w:val="22"/>
                <w:szCs w:val="22"/>
                <w:lang w:val="el-GR"/>
              </w:rPr>
            </w:pPr>
            <w:r>
              <w:rPr>
                <w:rFonts w:ascii="Calibri" w:hAnsi="Calibri"/>
                <w:b/>
                <w:bCs/>
                <w:color w:val="000000"/>
                <w:sz w:val="22"/>
                <w:szCs w:val="22"/>
                <w:lang w:val="el-GR"/>
              </w:rPr>
              <w:t>+</w:t>
            </w:r>
            <w:r>
              <w:rPr>
                <w:rFonts w:ascii="Calibri" w:hAnsi="Calibri"/>
                <w:b/>
                <w:bCs/>
                <w:color w:val="000000"/>
                <w:sz w:val="22"/>
                <w:szCs w:val="22"/>
                <w:lang w:val="el-GR"/>
              </w:rPr>
              <w:t>33,33%</w:t>
            </w:r>
          </w:p>
        </w:tc>
      </w:tr>
      <w:tr w:rsidR="005D667A" w:rsidRPr="00596A78" w:rsidTr="005E3E0C">
        <w:trPr>
          <w:jc w:val="center"/>
        </w:trPr>
        <w:tc>
          <w:tcPr>
            <w:tcW w:w="1626" w:type="dxa"/>
            <w:tcBorders>
              <w:top w:val="single" w:sz="4" w:space="0" w:color="auto"/>
              <w:bottom w:val="single" w:sz="4" w:space="0" w:color="auto"/>
            </w:tcBorders>
            <w:vAlign w:val="center"/>
          </w:tcPr>
          <w:p w:rsidR="005D667A" w:rsidRDefault="005D667A" w:rsidP="00854F12">
            <w:pPr>
              <w:jc w:val="center"/>
              <w:rPr>
                <w:rFonts w:cs="Arial"/>
                <w:color w:val="000000"/>
                <w:sz w:val="20"/>
              </w:rPr>
            </w:pPr>
            <w:r>
              <w:rPr>
                <w:rFonts w:cs="Arial"/>
                <w:color w:val="000000"/>
                <w:sz w:val="20"/>
              </w:rPr>
              <w:t>6.196-6.711</w:t>
            </w:r>
          </w:p>
        </w:tc>
        <w:tc>
          <w:tcPr>
            <w:tcW w:w="1866" w:type="dxa"/>
            <w:tcBorders>
              <w:top w:val="single" w:sz="4" w:space="0" w:color="auto"/>
              <w:bottom w:val="single" w:sz="4" w:space="0" w:color="auto"/>
            </w:tcBorders>
            <w:vAlign w:val="center"/>
          </w:tcPr>
          <w:p w:rsidR="005D667A" w:rsidRDefault="005D667A" w:rsidP="00854F12">
            <w:pPr>
              <w:jc w:val="center"/>
              <w:rPr>
                <w:rFonts w:cs="Arial"/>
                <w:b/>
                <w:bCs/>
                <w:color w:val="000000"/>
                <w:sz w:val="20"/>
              </w:rPr>
            </w:pPr>
            <w:r>
              <w:rPr>
                <w:rFonts w:cs="Arial"/>
                <w:b/>
                <w:bCs/>
                <w:color w:val="000000"/>
                <w:sz w:val="20"/>
              </w:rPr>
              <w:t>140</w:t>
            </w:r>
          </w:p>
        </w:tc>
        <w:tc>
          <w:tcPr>
            <w:tcW w:w="2037" w:type="dxa"/>
            <w:tcBorders>
              <w:top w:val="single" w:sz="4" w:space="0" w:color="auto"/>
              <w:left w:val="single" w:sz="12" w:space="0" w:color="auto"/>
              <w:bottom w:val="single" w:sz="4" w:space="0" w:color="auto"/>
            </w:tcBorders>
            <w:vAlign w:val="center"/>
          </w:tcPr>
          <w:p w:rsidR="005D667A" w:rsidRPr="00C758C4" w:rsidRDefault="005D667A" w:rsidP="00854F12">
            <w:pPr>
              <w:jc w:val="center"/>
              <w:rPr>
                <w:rFonts w:cs="Arial"/>
                <w:b/>
                <w:bCs/>
                <w:color w:val="000000"/>
                <w:sz w:val="20"/>
                <w:lang w:val="el-GR"/>
              </w:rPr>
            </w:pPr>
            <w:r>
              <w:rPr>
                <w:rFonts w:cs="Arial"/>
                <w:b/>
                <w:bCs/>
                <w:color w:val="000000"/>
                <w:sz w:val="20"/>
                <w:lang w:val="el-GR"/>
              </w:rPr>
              <w:t>190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cs="Arial"/>
                <w:b/>
                <w:bCs/>
                <w:color w:val="000000"/>
                <w:sz w:val="20"/>
                <w:lang w:val="el-GR"/>
              </w:rPr>
              <w:t>+50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ascii="Calibri" w:hAnsi="Calibri"/>
                <w:b/>
                <w:bCs/>
                <w:color w:val="000000"/>
                <w:sz w:val="22"/>
                <w:szCs w:val="22"/>
                <w:lang w:val="el-GR"/>
              </w:rPr>
              <w:t>+</w:t>
            </w:r>
            <w:r>
              <w:rPr>
                <w:rFonts w:ascii="Calibri" w:hAnsi="Calibri"/>
                <w:b/>
                <w:bCs/>
                <w:color w:val="000000"/>
                <w:sz w:val="22"/>
                <w:szCs w:val="22"/>
                <w:lang w:val="el-GR"/>
              </w:rPr>
              <w:t>35,71%</w:t>
            </w:r>
          </w:p>
        </w:tc>
      </w:tr>
      <w:tr w:rsidR="005D667A" w:rsidRPr="00596A78" w:rsidTr="005E3E0C">
        <w:trPr>
          <w:jc w:val="center"/>
        </w:trPr>
        <w:tc>
          <w:tcPr>
            <w:tcW w:w="1626" w:type="dxa"/>
            <w:tcBorders>
              <w:top w:val="single" w:sz="4" w:space="0" w:color="auto"/>
              <w:bottom w:val="single" w:sz="4" w:space="0" w:color="auto"/>
            </w:tcBorders>
            <w:vAlign w:val="center"/>
          </w:tcPr>
          <w:p w:rsidR="005D667A" w:rsidRDefault="005D667A" w:rsidP="00854F12">
            <w:pPr>
              <w:jc w:val="center"/>
              <w:rPr>
                <w:rFonts w:cs="Arial"/>
                <w:color w:val="000000"/>
                <w:sz w:val="20"/>
              </w:rPr>
            </w:pPr>
            <w:r>
              <w:rPr>
                <w:rFonts w:cs="Arial"/>
                <w:color w:val="000000"/>
                <w:sz w:val="20"/>
              </w:rPr>
              <w:t>6.712-7.227</w:t>
            </w:r>
          </w:p>
        </w:tc>
        <w:tc>
          <w:tcPr>
            <w:tcW w:w="1866" w:type="dxa"/>
            <w:tcBorders>
              <w:top w:val="single" w:sz="4" w:space="0" w:color="auto"/>
              <w:bottom w:val="single" w:sz="4" w:space="0" w:color="auto"/>
            </w:tcBorders>
            <w:vAlign w:val="center"/>
          </w:tcPr>
          <w:p w:rsidR="005D667A" w:rsidRDefault="005D667A" w:rsidP="00854F12">
            <w:pPr>
              <w:jc w:val="center"/>
              <w:rPr>
                <w:rFonts w:cs="Arial"/>
                <w:b/>
                <w:bCs/>
                <w:color w:val="000000"/>
                <w:sz w:val="20"/>
              </w:rPr>
            </w:pPr>
            <w:r>
              <w:rPr>
                <w:rFonts w:cs="Arial"/>
                <w:b/>
                <w:bCs/>
                <w:color w:val="000000"/>
                <w:sz w:val="20"/>
              </w:rPr>
              <w:t>130</w:t>
            </w:r>
          </w:p>
        </w:tc>
        <w:tc>
          <w:tcPr>
            <w:tcW w:w="2037" w:type="dxa"/>
            <w:tcBorders>
              <w:top w:val="single" w:sz="4" w:space="0" w:color="auto"/>
              <w:left w:val="single" w:sz="12" w:space="0" w:color="auto"/>
              <w:bottom w:val="single" w:sz="4" w:space="0" w:color="auto"/>
            </w:tcBorders>
            <w:vAlign w:val="center"/>
          </w:tcPr>
          <w:p w:rsidR="005D667A" w:rsidRPr="00C758C4" w:rsidRDefault="005D667A" w:rsidP="00854F12">
            <w:pPr>
              <w:jc w:val="center"/>
              <w:rPr>
                <w:rFonts w:cs="Arial"/>
                <w:b/>
                <w:bCs/>
                <w:color w:val="000000"/>
                <w:sz w:val="20"/>
                <w:lang w:val="el-GR"/>
              </w:rPr>
            </w:pPr>
            <w:r>
              <w:rPr>
                <w:rFonts w:cs="Arial"/>
                <w:b/>
                <w:bCs/>
                <w:color w:val="000000"/>
                <w:sz w:val="20"/>
                <w:lang w:val="el-GR"/>
              </w:rPr>
              <w:t>180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cs="Arial"/>
                <w:b/>
                <w:bCs/>
                <w:color w:val="000000"/>
                <w:sz w:val="20"/>
                <w:lang w:val="el-GR"/>
              </w:rPr>
              <w:t>+50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ascii="Calibri" w:hAnsi="Calibri"/>
                <w:b/>
                <w:bCs/>
                <w:color w:val="000000"/>
                <w:sz w:val="22"/>
                <w:szCs w:val="22"/>
                <w:lang w:val="el-GR"/>
              </w:rPr>
              <w:t>+</w:t>
            </w:r>
            <w:r>
              <w:rPr>
                <w:rFonts w:ascii="Calibri" w:hAnsi="Calibri"/>
                <w:b/>
                <w:bCs/>
                <w:color w:val="000000"/>
                <w:sz w:val="22"/>
                <w:szCs w:val="22"/>
                <w:lang w:val="el-GR"/>
              </w:rPr>
              <w:t>38,46%</w:t>
            </w:r>
          </w:p>
        </w:tc>
      </w:tr>
      <w:tr w:rsidR="005D667A" w:rsidRPr="00596A78" w:rsidTr="005E3E0C">
        <w:trPr>
          <w:jc w:val="center"/>
        </w:trPr>
        <w:tc>
          <w:tcPr>
            <w:tcW w:w="1626" w:type="dxa"/>
            <w:tcBorders>
              <w:top w:val="single" w:sz="4" w:space="0" w:color="auto"/>
              <w:bottom w:val="single" w:sz="4" w:space="0" w:color="auto"/>
            </w:tcBorders>
            <w:vAlign w:val="center"/>
          </w:tcPr>
          <w:p w:rsidR="005D667A" w:rsidRDefault="005D667A" w:rsidP="00854F12">
            <w:pPr>
              <w:jc w:val="center"/>
              <w:rPr>
                <w:rFonts w:cs="Arial"/>
                <w:color w:val="000000"/>
                <w:sz w:val="20"/>
              </w:rPr>
            </w:pPr>
            <w:r>
              <w:rPr>
                <w:rFonts w:cs="Arial"/>
                <w:color w:val="000000"/>
                <w:sz w:val="20"/>
              </w:rPr>
              <w:t>7.228-7.742</w:t>
            </w:r>
          </w:p>
        </w:tc>
        <w:tc>
          <w:tcPr>
            <w:tcW w:w="1866" w:type="dxa"/>
            <w:tcBorders>
              <w:top w:val="single" w:sz="4" w:space="0" w:color="auto"/>
              <w:bottom w:val="single" w:sz="4" w:space="0" w:color="auto"/>
            </w:tcBorders>
            <w:vAlign w:val="center"/>
          </w:tcPr>
          <w:p w:rsidR="005D667A" w:rsidRDefault="005D667A" w:rsidP="00854F12">
            <w:pPr>
              <w:jc w:val="center"/>
              <w:rPr>
                <w:rFonts w:cs="Arial"/>
                <w:b/>
                <w:bCs/>
                <w:color w:val="000000"/>
                <w:sz w:val="20"/>
              </w:rPr>
            </w:pPr>
            <w:r>
              <w:rPr>
                <w:rFonts w:cs="Arial"/>
                <w:b/>
                <w:bCs/>
                <w:color w:val="000000"/>
                <w:sz w:val="20"/>
              </w:rPr>
              <w:t>120</w:t>
            </w:r>
          </w:p>
        </w:tc>
        <w:tc>
          <w:tcPr>
            <w:tcW w:w="2037" w:type="dxa"/>
            <w:tcBorders>
              <w:top w:val="single" w:sz="4" w:space="0" w:color="auto"/>
              <w:left w:val="single" w:sz="12" w:space="0" w:color="auto"/>
              <w:bottom w:val="single" w:sz="4" w:space="0" w:color="auto"/>
            </w:tcBorders>
            <w:vAlign w:val="center"/>
          </w:tcPr>
          <w:p w:rsidR="005D667A" w:rsidRPr="00C758C4" w:rsidRDefault="005D667A" w:rsidP="00854F12">
            <w:pPr>
              <w:jc w:val="center"/>
              <w:rPr>
                <w:rFonts w:cs="Arial"/>
                <w:b/>
                <w:bCs/>
                <w:color w:val="000000"/>
                <w:sz w:val="20"/>
                <w:lang w:val="el-GR"/>
              </w:rPr>
            </w:pPr>
            <w:r>
              <w:rPr>
                <w:rFonts w:cs="Arial"/>
                <w:b/>
                <w:bCs/>
                <w:color w:val="000000"/>
                <w:sz w:val="20"/>
                <w:lang w:val="el-GR"/>
              </w:rPr>
              <w:t>160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cs="Arial"/>
                <w:b/>
                <w:bCs/>
                <w:color w:val="000000"/>
                <w:sz w:val="20"/>
                <w:lang w:val="el-GR"/>
              </w:rPr>
              <w:t>+40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ascii="Calibri" w:hAnsi="Calibri"/>
                <w:b/>
                <w:bCs/>
                <w:color w:val="000000"/>
                <w:sz w:val="22"/>
                <w:szCs w:val="22"/>
                <w:lang w:val="el-GR"/>
              </w:rPr>
              <w:t>+</w:t>
            </w:r>
            <w:r>
              <w:rPr>
                <w:rFonts w:ascii="Calibri" w:hAnsi="Calibri"/>
                <w:b/>
                <w:bCs/>
                <w:color w:val="000000"/>
                <w:sz w:val="22"/>
                <w:szCs w:val="22"/>
                <w:lang w:val="el-GR"/>
              </w:rPr>
              <w:t>33,33%</w:t>
            </w:r>
          </w:p>
        </w:tc>
      </w:tr>
      <w:tr w:rsidR="005D667A" w:rsidRPr="00596A78" w:rsidTr="005E3E0C">
        <w:trPr>
          <w:jc w:val="center"/>
        </w:trPr>
        <w:tc>
          <w:tcPr>
            <w:tcW w:w="1626" w:type="dxa"/>
            <w:tcBorders>
              <w:top w:val="single" w:sz="4" w:space="0" w:color="auto"/>
              <w:bottom w:val="single" w:sz="4" w:space="0" w:color="auto"/>
            </w:tcBorders>
            <w:vAlign w:val="center"/>
          </w:tcPr>
          <w:p w:rsidR="005D667A" w:rsidRDefault="005D667A" w:rsidP="00854F12">
            <w:pPr>
              <w:jc w:val="center"/>
              <w:rPr>
                <w:rFonts w:cs="Arial"/>
                <w:color w:val="000000"/>
                <w:sz w:val="20"/>
              </w:rPr>
            </w:pPr>
            <w:r>
              <w:rPr>
                <w:rFonts w:cs="Arial"/>
                <w:color w:val="000000"/>
                <w:sz w:val="20"/>
              </w:rPr>
              <w:t>7.743-8.259</w:t>
            </w:r>
          </w:p>
        </w:tc>
        <w:tc>
          <w:tcPr>
            <w:tcW w:w="1866" w:type="dxa"/>
            <w:tcBorders>
              <w:top w:val="single" w:sz="4" w:space="0" w:color="auto"/>
              <w:bottom w:val="single" w:sz="4" w:space="0" w:color="auto"/>
            </w:tcBorders>
            <w:vAlign w:val="center"/>
          </w:tcPr>
          <w:p w:rsidR="005D667A" w:rsidRDefault="005D667A" w:rsidP="00854F12">
            <w:pPr>
              <w:jc w:val="center"/>
              <w:rPr>
                <w:rFonts w:cs="Arial"/>
                <w:b/>
                <w:bCs/>
                <w:color w:val="000000"/>
                <w:sz w:val="20"/>
              </w:rPr>
            </w:pPr>
            <w:r>
              <w:rPr>
                <w:rFonts w:cs="Arial"/>
                <w:b/>
                <w:bCs/>
                <w:color w:val="000000"/>
                <w:sz w:val="20"/>
              </w:rPr>
              <w:t>110</w:t>
            </w:r>
          </w:p>
        </w:tc>
        <w:tc>
          <w:tcPr>
            <w:tcW w:w="2037" w:type="dxa"/>
            <w:tcBorders>
              <w:top w:val="single" w:sz="4" w:space="0" w:color="auto"/>
              <w:left w:val="single" w:sz="12" w:space="0" w:color="auto"/>
              <w:bottom w:val="single" w:sz="4" w:space="0" w:color="auto"/>
            </w:tcBorders>
            <w:vAlign w:val="center"/>
          </w:tcPr>
          <w:p w:rsidR="005D667A" w:rsidRPr="00F76846" w:rsidRDefault="005D667A" w:rsidP="00854F12">
            <w:pPr>
              <w:jc w:val="center"/>
              <w:rPr>
                <w:rFonts w:cs="Arial"/>
                <w:b/>
                <w:bCs/>
                <w:color w:val="000000"/>
                <w:sz w:val="20"/>
                <w:lang w:val="el-GR"/>
              </w:rPr>
            </w:pPr>
            <w:r>
              <w:rPr>
                <w:rFonts w:cs="Arial"/>
                <w:b/>
                <w:bCs/>
                <w:color w:val="000000"/>
                <w:sz w:val="20"/>
                <w:lang w:val="el-GR"/>
              </w:rPr>
              <w:t>150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cs="Arial"/>
                <w:b/>
                <w:bCs/>
                <w:color w:val="000000"/>
                <w:sz w:val="20"/>
                <w:lang w:val="el-GR"/>
              </w:rPr>
              <w:t>+40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ascii="Calibri" w:hAnsi="Calibri"/>
                <w:b/>
                <w:bCs/>
                <w:color w:val="000000"/>
                <w:sz w:val="22"/>
                <w:szCs w:val="22"/>
                <w:lang w:val="el-GR"/>
              </w:rPr>
              <w:t>+</w:t>
            </w:r>
            <w:r>
              <w:rPr>
                <w:rFonts w:ascii="Calibri" w:hAnsi="Calibri"/>
                <w:b/>
                <w:bCs/>
                <w:color w:val="000000"/>
                <w:sz w:val="22"/>
                <w:szCs w:val="22"/>
                <w:lang w:val="el-GR"/>
              </w:rPr>
              <w:t>36,36%</w:t>
            </w:r>
          </w:p>
        </w:tc>
      </w:tr>
      <w:tr w:rsidR="005D667A" w:rsidRPr="00596A78" w:rsidTr="005E3E0C">
        <w:trPr>
          <w:jc w:val="center"/>
        </w:trPr>
        <w:tc>
          <w:tcPr>
            <w:tcW w:w="1626" w:type="dxa"/>
            <w:tcBorders>
              <w:top w:val="single" w:sz="4" w:space="0" w:color="auto"/>
              <w:bottom w:val="single" w:sz="4" w:space="0" w:color="auto"/>
            </w:tcBorders>
            <w:vAlign w:val="center"/>
          </w:tcPr>
          <w:p w:rsidR="005D667A" w:rsidRDefault="005D667A" w:rsidP="00854F12">
            <w:pPr>
              <w:jc w:val="center"/>
              <w:rPr>
                <w:rFonts w:cs="Arial"/>
                <w:color w:val="000000"/>
                <w:sz w:val="20"/>
              </w:rPr>
            </w:pPr>
            <w:r>
              <w:rPr>
                <w:rFonts w:cs="Arial"/>
                <w:color w:val="000000"/>
                <w:sz w:val="20"/>
              </w:rPr>
              <w:t>8.260-8.775</w:t>
            </w:r>
          </w:p>
        </w:tc>
        <w:tc>
          <w:tcPr>
            <w:tcW w:w="1866" w:type="dxa"/>
            <w:tcBorders>
              <w:top w:val="single" w:sz="4" w:space="0" w:color="auto"/>
              <w:bottom w:val="single" w:sz="4" w:space="0" w:color="auto"/>
            </w:tcBorders>
            <w:vAlign w:val="center"/>
          </w:tcPr>
          <w:p w:rsidR="005D667A" w:rsidRDefault="005D667A" w:rsidP="00854F12">
            <w:pPr>
              <w:jc w:val="center"/>
              <w:rPr>
                <w:rFonts w:cs="Arial"/>
                <w:b/>
                <w:bCs/>
                <w:color w:val="000000"/>
                <w:sz w:val="20"/>
              </w:rPr>
            </w:pPr>
            <w:r>
              <w:rPr>
                <w:rFonts w:cs="Arial"/>
                <w:b/>
                <w:bCs/>
                <w:color w:val="000000"/>
                <w:sz w:val="20"/>
              </w:rPr>
              <w:t>100</w:t>
            </w:r>
          </w:p>
        </w:tc>
        <w:tc>
          <w:tcPr>
            <w:tcW w:w="2037" w:type="dxa"/>
            <w:tcBorders>
              <w:top w:val="single" w:sz="4" w:space="0" w:color="auto"/>
              <w:left w:val="single" w:sz="12" w:space="0" w:color="auto"/>
              <w:bottom w:val="single" w:sz="4" w:space="0" w:color="auto"/>
            </w:tcBorders>
            <w:vAlign w:val="center"/>
          </w:tcPr>
          <w:p w:rsidR="005D667A" w:rsidRPr="00F76846" w:rsidRDefault="005D667A" w:rsidP="00854F12">
            <w:pPr>
              <w:jc w:val="center"/>
              <w:rPr>
                <w:rFonts w:cs="Arial"/>
                <w:b/>
                <w:bCs/>
                <w:color w:val="000000"/>
                <w:sz w:val="20"/>
                <w:lang w:val="el-GR"/>
              </w:rPr>
            </w:pPr>
            <w:r>
              <w:rPr>
                <w:rFonts w:cs="Arial"/>
                <w:b/>
                <w:bCs/>
                <w:color w:val="000000"/>
                <w:sz w:val="20"/>
                <w:lang w:val="el-GR"/>
              </w:rPr>
              <w:t>140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cs="Arial"/>
                <w:b/>
                <w:bCs/>
                <w:color w:val="000000"/>
                <w:sz w:val="20"/>
                <w:lang w:val="el-GR"/>
              </w:rPr>
              <w:t>+40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ascii="Calibri" w:hAnsi="Calibri"/>
                <w:b/>
                <w:bCs/>
                <w:color w:val="000000"/>
                <w:sz w:val="22"/>
                <w:szCs w:val="22"/>
                <w:lang w:val="el-GR"/>
              </w:rPr>
              <w:t>+</w:t>
            </w:r>
            <w:r>
              <w:rPr>
                <w:rFonts w:ascii="Calibri" w:hAnsi="Calibri"/>
                <w:b/>
                <w:bCs/>
                <w:color w:val="000000"/>
                <w:sz w:val="22"/>
                <w:szCs w:val="22"/>
                <w:lang w:val="el-GR"/>
              </w:rPr>
              <w:t>40%</w:t>
            </w:r>
          </w:p>
        </w:tc>
      </w:tr>
      <w:tr w:rsidR="005D667A" w:rsidRPr="00596A78" w:rsidTr="005E3E0C">
        <w:trPr>
          <w:jc w:val="center"/>
        </w:trPr>
        <w:tc>
          <w:tcPr>
            <w:tcW w:w="1626" w:type="dxa"/>
            <w:tcBorders>
              <w:top w:val="single" w:sz="4" w:space="0" w:color="auto"/>
              <w:bottom w:val="single" w:sz="4" w:space="0" w:color="auto"/>
            </w:tcBorders>
            <w:vAlign w:val="center"/>
          </w:tcPr>
          <w:p w:rsidR="005D667A" w:rsidRDefault="005D667A" w:rsidP="00854F12">
            <w:pPr>
              <w:jc w:val="center"/>
              <w:rPr>
                <w:rFonts w:cs="Arial"/>
                <w:color w:val="000000"/>
                <w:sz w:val="20"/>
              </w:rPr>
            </w:pPr>
            <w:r>
              <w:rPr>
                <w:rFonts w:cs="Arial"/>
                <w:color w:val="000000"/>
                <w:sz w:val="20"/>
              </w:rPr>
              <w:t>8.776-9.291</w:t>
            </w:r>
          </w:p>
        </w:tc>
        <w:tc>
          <w:tcPr>
            <w:tcW w:w="1866" w:type="dxa"/>
            <w:tcBorders>
              <w:top w:val="single" w:sz="4" w:space="0" w:color="auto"/>
              <w:bottom w:val="single" w:sz="4" w:space="0" w:color="auto"/>
            </w:tcBorders>
            <w:vAlign w:val="center"/>
          </w:tcPr>
          <w:p w:rsidR="005D667A" w:rsidRDefault="005D667A" w:rsidP="00854F12">
            <w:pPr>
              <w:jc w:val="center"/>
              <w:rPr>
                <w:rFonts w:cs="Arial"/>
                <w:b/>
                <w:bCs/>
                <w:color w:val="000000"/>
                <w:sz w:val="20"/>
              </w:rPr>
            </w:pPr>
            <w:r>
              <w:rPr>
                <w:rFonts w:cs="Arial"/>
                <w:b/>
                <w:bCs/>
                <w:color w:val="000000"/>
                <w:sz w:val="20"/>
              </w:rPr>
              <w:t>90</w:t>
            </w:r>
          </w:p>
        </w:tc>
        <w:tc>
          <w:tcPr>
            <w:tcW w:w="2037" w:type="dxa"/>
            <w:tcBorders>
              <w:top w:val="single" w:sz="4" w:space="0" w:color="auto"/>
              <w:left w:val="single" w:sz="12" w:space="0" w:color="auto"/>
              <w:bottom w:val="single" w:sz="4" w:space="0" w:color="auto"/>
            </w:tcBorders>
            <w:vAlign w:val="center"/>
          </w:tcPr>
          <w:p w:rsidR="005D667A" w:rsidRPr="00F76846" w:rsidRDefault="005D667A" w:rsidP="00854F12">
            <w:pPr>
              <w:jc w:val="center"/>
              <w:rPr>
                <w:rFonts w:cs="Arial"/>
                <w:b/>
                <w:bCs/>
                <w:color w:val="000000"/>
                <w:sz w:val="20"/>
                <w:lang w:val="el-GR"/>
              </w:rPr>
            </w:pPr>
            <w:r>
              <w:rPr>
                <w:rFonts w:cs="Arial"/>
                <w:b/>
                <w:bCs/>
                <w:color w:val="000000"/>
                <w:sz w:val="20"/>
                <w:lang w:val="el-GR"/>
              </w:rPr>
              <w:t>130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cs="Arial"/>
                <w:b/>
                <w:bCs/>
                <w:color w:val="000000"/>
                <w:sz w:val="20"/>
                <w:lang w:val="el-GR"/>
              </w:rPr>
              <w:t>+40</w:t>
            </w:r>
          </w:p>
        </w:tc>
        <w:tc>
          <w:tcPr>
            <w:tcW w:w="1765" w:type="dxa"/>
            <w:tcBorders>
              <w:top w:val="single" w:sz="4" w:space="0" w:color="auto"/>
              <w:left w:val="single" w:sz="12" w:space="0" w:color="auto"/>
              <w:bottom w:val="single" w:sz="4" w:space="0" w:color="auto"/>
            </w:tcBorders>
          </w:tcPr>
          <w:p w:rsidR="005D667A" w:rsidRDefault="005D667A" w:rsidP="00854F12">
            <w:pPr>
              <w:jc w:val="center"/>
              <w:rPr>
                <w:rFonts w:cs="Arial"/>
                <w:b/>
                <w:bCs/>
                <w:color w:val="000000"/>
                <w:sz w:val="20"/>
                <w:lang w:val="el-GR"/>
              </w:rPr>
            </w:pPr>
            <w:r>
              <w:rPr>
                <w:rFonts w:ascii="Calibri" w:hAnsi="Calibri"/>
                <w:b/>
                <w:bCs/>
                <w:color w:val="000000"/>
                <w:sz w:val="22"/>
                <w:szCs w:val="22"/>
                <w:lang w:val="el-GR"/>
              </w:rPr>
              <w:t>+</w:t>
            </w:r>
            <w:r>
              <w:rPr>
                <w:rFonts w:ascii="Calibri" w:hAnsi="Calibri"/>
                <w:b/>
                <w:bCs/>
                <w:color w:val="000000"/>
                <w:sz w:val="22"/>
                <w:szCs w:val="22"/>
                <w:lang w:val="el-GR"/>
              </w:rPr>
              <w:t>44,44%</w:t>
            </w:r>
          </w:p>
        </w:tc>
      </w:tr>
      <w:tr w:rsidR="005D667A" w:rsidRPr="00596A78" w:rsidTr="005E3E0C">
        <w:trPr>
          <w:jc w:val="center"/>
        </w:trPr>
        <w:tc>
          <w:tcPr>
            <w:tcW w:w="1626" w:type="dxa"/>
            <w:tcBorders>
              <w:top w:val="single" w:sz="4" w:space="0" w:color="auto"/>
              <w:bottom w:val="single" w:sz="12" w:space="0" w:color="auto"/>
            </w:tcBorders>
            <w:vAlign w:val="center"/>
          </w:tcPr>
          <w:p w:rsidR="005D667A" w:rsidRDefault="005D667A" w:rsidP="00854F12">
            <w:pPr>
              <w:jc w:val="center"/>
              <w:rPr>
                <w:rFonts w:cs="Arial"/>
                <w:color w:val="000000"/>
                <w:sz w:val="20"/>
              </w:rPr>
            </w:pPr>
            <w:r>
              <w:rPr>
                <w:rFonts w:cs="Arial"/>
                <w:color w:val="000000"/>
                <w:sz w:val="20"/>
              </w:rPr>
              <w:t>9.292-10.324</w:t>
            </w:r>
          </w:p>
        </w:tc>
        <w:tc>
          <w:tcPr>
            <w:tcW w:w="1866" w:type="dxa"/>
            <w:tcBorders>
              <w:top w:val="single" w:sz="4" w:space="0" w:color="auto"/>
              <w:bottom w:val="single" w:sz="12" w:space="0" w:color="auto"/>
            </w:tcBorders>
            <w:vAlign w:val="center"/>
          </w:tcPr>
          <w:p w:rsidR="005D667A" w:rsidRDefault="005D667A" w:rsidP="00854F12">
            <w:pPr>
              <w:jc w:val="center"/>
              <w:rPr>
                <w:rFonts w:cs="Arial"/>
                <w:b/>
                <w:bCs/>
                <w:color w:val="000000"/>
                <w:sz w:val="20"/>
              </w:rPr>
            </w:pPr>
            <w:proofErr w:type="spellStart"/>
            <w:r>
              <w:rPr>
                <w:rFonts w:cs="Arial"/>
                <w:b/>
                <w:bCs/>
                <w:color w:val="000000"/>
                <w:sz w:val="20"/>
              </w:rPr>
              <w:t>Μέχρι</w:t>
            </w:r>
            <w:proofErr w:type="spellEnd"/>
            <w:r>
              <w:rPr>
                <w:rFonts w:cs="Arial"/>
                <w:b/>
                <w:bCs/>
                <w:color w:val="000000"/>
                <w:sz w:val="20"/>
              </w:rPr>
              <w:t xml:space="preserve"> 75</w:t>
            </w:r>
          </w:p>
        </w:tc>
        <w:tc>
          <w:tcPr>
            <w:tcW w:w="2037" w:type="dxa"/>
            <w:tcBorders>
              <w:top w:val="single" w:sz="4" w:space="0" w:color="auto"/>
              <w:left w:val="single" w:sz="12" w:space="0" w:color="auto"/>
              <w:bottom w:val="single" w:sz="12" w:space="0" w:color="auto"/>
            </w:tcBorders>
            <w:vAlign w:val="center"/>
          </w:tcPr>
          <w:p w:rsidR="005D667A" w:rsidRPr="00F76846" w:rsidRDefault="005D667A" w:rsidP="00854F12">
            <w:pPr>
              <w:jc w:val="center"/>
              <w:rPr>
                <w:rFonts w:cs="Arial"/>
                <w:b/>
                <w:bCs/>
                <w:color w:val="000000"/>
                <w:sz w:val="20"/>
                <w:lang w:val="el-GR"/>
              </w:rPr>
            </w:pPr>
            <w:r>
              <w:rPr>
                <w:rFonts w:cs="Arial"/>
                <w:b/>
                <w:bCs/>
                <w:color w:val="000000"/>
                <w:sz w:val="20"/>
                <w:lang w:val="el-GR"/>
              </w:rPr>
              <w:t>Μέχρι 95</w:t>
            </w:r>
          </w:p>
        </w:tc>
        <w:tc>
          <w:tcPr>
            <w:tcW w:w="1765" w:type="dxa"/>
            <w:tcBorders>
              <w:top w:val="single" w:sz="4" w:space="0" w:color="auto"/>
              <w:left w:val="single" w:sz="12" w:space="0" w:color="auto"/>
              <w:bottom w:val="single" w:sz="12" w:space="0" w:color="auto"/>
            </w:tcBorders>
          </w:tcPr>
          <w:p w:rsidR="005D667A" w:rsidRDefault="005D667A" w:rsidP="00854F12">
            <w:pPr>
              <w:jc w:val="center"/>
              <w:rPr>
                <w:rFonts w:cs="Arial"/>
                <w:b/>
                <w:bCs/>
                <w:color w:val="000000"/>
                <w:sz w:val="20"/>
                <w:lang w:val="el-GR"/>
              </w:rPr>
            </w:pPr>
            <w:r>
              <w:rPr>
                <w:rFonts w:cs="Arial"/>
                <w:b/>
                <w:bCs/>
                <w:color w:val="000000"/>
                <w:sz w:val="20"/>
                <w:lang w:val="el-GR"/>
              </w:rPr>
              <w:t>+20</w:t>
            </w:r>
          </w:p>
        </w:tc>
        <w:tc>
          <w:tcPr>
            <w:tcW w:w="1765" w:type="dxa"/>
            <w:tcBorders>
              <w:top w:val="single" w:sz="4" w:space="0" w:color="auto"/>
              <w:left w:val="single" w:sz="12" w:space="0" w:color="auto"/>
              <w:bottom w:val="single" w:sz="12" w:space="0" w:color="auto"/>
            </w:tcBorders>
          </w:tcPr>
          <w:p w:rsidR="005D667A" w:rsidRDefault="005D667A" w:rsidP="00854F12">
            <w:pPr>
              <w:jc w:val="center"/>
              <w:rPr>
                <w:rFonts w:cs="Arial"/>
                <w:b/>
                <w:bCs/>
                <w:color w:val="000000"/>
                <w:sz w:val="20"/>
                <w:lang w:val="el-GR"/>
              </w:rPr>
            </w:pPr>
            <w:r>
              <w:rPr>
                <w:rFonts w:ascii="Calibri" w:hAnsi="Calibri"/>
                <w:b/>
                <w:bCs/>
                <w:color w:val="000000"/>
                <w:sz w:val="22"/>
                <w:szCs w:val="22"/>
                <w:lang w:val="el-GR"/>
              </w:rPr>
              <w:t>**</w:t>
            </w:r>
            <w:r>
              <w:rPr>
                <w:rStyle w:val="FootnoteReference"/>
                <w:rFonts w:ascii="Calibri" w:hAnsi="Calibri"/>
                <w:b/>
                <w:bCs/>
                <w:color w:val="000000"/>
                <w:sz w:val="22"/>
                <w:szCs w:val="22"/>
                <w:lang w:val="el-GR"/>
              </w:rPr>
              <w:footnoteReference w:id="1"/>
            </w:r>
          </w:p>
        </w:tc>
      </w:tr>
    </w:tbl>
    <w:p w:rsidR="000E2A60" w:rsidRPr="000E2A60" w:rsidRDefault="000E2A60" w:rsidP="000E2A60">
      <w:pPr>
        <w:spacing w:line="276" w:lineRule="auto"/>
        <w:jc w:val="both"/>
        <w:rPr>
          <w:rFonts w:cs="Arial"/>
          <w:sz w:val="18"/>
          <w:lang w:val="el-GR"/>
        </w:rPr>
      </w:pPr>
    </w:p>
    <w:p w:rsidR="00B35B06" w:rsidRPr="005D667A" w:rsidRDefault="00B35B06" w:rsidP="00B35B06">
      <w:pPr>
        <w:spacing w:after="240" w:line="276" w:lineRule="auto"/>
        <w:jc w:val="both"/>
        <w:rPr>
          <w:rFonts w:cs="Arial"/>
          <w:sz w:val="22"/>
          <w:lang w:val="el-GR"/>
        </w:rPr>
      </w:pPr>
      <w:r w:rsidRPr="005D667A">
        <w:rPr>
          <w:rFonts w:cs="Arial"/>
          <w:sz w:val="22"/>
          <w:lang w:val="el-GR"/>
        </w:rPr>
        <w:t>Σημειώνεται ότι σε περίπτωση ζεύγους δικαιούχων που είναι και οι δύο συνταξιούχοι, θα λαμβάνουν τόσο το επίδομα όσο και την προτεινόμενη αύξηση και</w:t>
      </w:r>
      <w:r w:rsidR="0066201C" w:rsidRPr="005D667A">
        <w:rPr>
          <w:rFonts w:cs="Arial"/>
          <w:sz w:val="22"/>
          <w:lang w:val="el-GR"/>
        </w:rPr>
        <w:t xml:space="preserve"> οι δύο συνταξιούχοι ξεχωριστά</w:t>
      </w:r>
      <w:r w:rsidR="000E2A60" w:rsidRPr="005D667A">
        <w:rPr>
          <w:rFonts w:cs="Arial"/>
          <w:sz w:val="22"/>
          <w:lang w:val="el-GR"/>
        </w:rPr>
        <w:t>.</w:t>
      </w:r>
      <w:r w:rsidR="00CA4167" w:rsidRPr="005D667A">
        <w:rPr>
          <w:rFonts w:cs="Arial"/>
          <w:sz w:val="22"/>
          <w:lang w:val="el-GR"/>
        </w:rPr>
        <w:t xml:space="preserve"> Για παράδειγμα, για ζεύγος συνταξιούχων το εισοδηματικό όριο καθορίζεται στα €15.486 και σε περίπτωση ζεύγους που λαμβάνουν και οι δύο την κατώτατη σύνταξη ύψους €357 μηνιαίως, θα λαμβάνουν </w:t>
      </w:r>
      <w:r w:rsidR="00C373F1" w:rsidRPr="005D667A">
        <w:rPr>
          <w:rFonts w:cs="Arial"/>
          <w:sz w:val="22"/>
          <w:lang w:val="el-GR"/>
        </w:rPr>
        <w:t xml:space="preserve">συνολικά και οι δύο ποσό </w:t>
      </w:r>
      <w:r w:rsidR="00CA4167" w:rsidRPr="005D667A">
        <w:rPr>
          <w:rFonts w:cs="Arial"/>
          <w:sz w:val="22"/>
          <w:lang w:val="el-GR"/>
        </w:rPr>
        <w:t>€</w:t>
      </w:r>
      <w:r w:rsidR="00C373F1" w:rsidRPr="005D667A">
        <w:rPr>
          <w:rFonts w:cs="Arial"/>
          <w:sz w:val="22"/>
          <w:lang w:val="el-GR"/>
        </w:rPr>
        <w:t>1.114</w:t>
      </w:r>
      <w:r w:rsidR="00CA4167" w:rsidRPr="005D667A">
        <w:rPr>
          <w:rFonts w:cs="Arial"/>
          <w:sz w:val="22"/>
          <w:lang w:val="el-GR"/>
        </w:rPr>
        <w:t>.</w:t>
      </w:r>
      <w:r w:rsidR="000B537D">
        <w:rPr>
          <w:rFonts w:cs="Arial"/>
          <w:sz w:val="22"/>
          <w:lang w:val="el-GR"/>
        </w:rPr>
        <w:t xml:space="preserve"> Σημειώνεται ότι η αύξηση </w:t>
      </w:r>
      <w:r w:rsidR="000B537D">
        <w:rPr>
          <w:rFonts w:cs="Arial"/>
          <w:sz w:val="22"/>
          <w:lang w:val="el-GR"/>
        </w:rPr>
        <w:lastRenderedPageBreak/>
        <w:t>δεν θα λαμβάνεται υπόψη ως εισόδημα για σκοπούς του Σχεδίου Χαμηλοσυνταξιούχων ή άλλων Σχεδίων που προνοούν για εισοδηματικό όριο.</w:t>
      </w:r>
    </w:p>
    <w:p w:rsidR="00B35B06" w:rsidRPr="005D667A" w:rsidRDefault="00B35B06" w:rsidP="00B35B06">
      <w:pPr>
        <w:spacing w:after="240" w:line="276" w:lineRule="auto"/>
        <w:jc w:val="both"/>
        <w:rPr>
          <w:rFonts w:cs="Arial"/>
          <w:sz w:val="22"/>
          <w:lang w:val="el-GR"/>
        </w:rPr>
      </w:pPr>
      <w:r w:rsidRPr="005D667A">
        <w:rPr>
          <w:rFonts w:cs="Arial"/>
          <w:sz w:val="22"/>
          <w:lang w:val="el-GR"/>
        </w:rPr>
        <w:t>Η αύξηση θα επηρεάσει περίπου 38.000 χαμηλοσυνταξιούχους οι οποίοι είναι ενταγμένοι στο Σχέδιο Ενίσχυσης Συνταξιούχων με Χαμηλά Εισοδήματα περιλαμβανομένων και των χαμηλοσυνταξιούχων που λαμβάνο</w:t>
      </w:r>
      <w:r w:rsidR="000E2A60" w:rsidRPr="005D667A">
        <w:rPr>
          <w:rFonts w:cs="Arial"/>
          <w:sz w:val="22"/>
          <w:lang w:val="el-GR"/>
        </w:rPr>
        <w:t>υν το Επίδομα Χαμηλοσυνταξιούχου</w:t>
      </w:r>
      <w:r w:rsidRPr="005D667A">
        <w:rPr>
          <w:rFonts w:cs="Arial"/>
          <w:sz w:val="22"/>
          <w:lang w:val="el-GR"/>
        </w:rPr>
        <w:t xml:space="preserve"> μέσω του Ελάχιστου Εγγυημένου Εισοδήματος</w:t>
      </w:r>
      <w:r w:rsidR="00CA4167" w:rsidRPr="005D667A">
        <w:rPr>
          <w:rFonts w:cs="Arial"/>
          <w:sz w:val="22"/>
          <w:lang w:val="el-GR"/>
        </w:rPr>
        <w:t>, με συνολική ετήσια δαπάνη ύψους €19,6 εκατομμυρίων.</w:t>
      </w:r>
    </w:p>
    <w:p w:rsidR="00B35B06" w:rsidRPr="005D667A" w:rsidRDefault="00B35B06" w:rsidP="00B35B06">
      <w:pPr>
        <w:spacing w:after="240" w:line="276" w:lineRule="auto"/>
        <w:jc w:val="center"/>
        <w:rPr>
          <w:rFonts w:cs="Arial"/>
          <w:sz w:val="22"/>
          <w:lang w:val="el-GR"/>
        </w:rPr>
      </w:pPr>
      <w:r w:rsidRPr="005D667A">
        <w:rPr>
          <w:rFonts w:cs="Arial"/>
          <w:b/>
          <w:sz w:val="22"/>
          <w:u w:val="single"/>
          <w:lang w:val="el-GR"/>
        </w:rPr>
        <w:t>Δημιουργία του «Σπιτιού της Γυναίκας»</w:t>
      </w:r>
    </w:p>
    <w:p w:rsidR="002C2CB6" w:rsidRPr="005D667A" w:rsidRDefault="0066201C" w:rsidP="006D06E8">
      <w:pPr>
        <w:spacing w:line="276" w:lineRule="auto"/>
        <w:jc w:val="both"/>
        <w:rPr>
          <w:rFonts w:cs="Arial"/>
          <w:sz w:val="22"/>
          <w:lang w:val="el-GR"/>
        </w:rPr>
      </w:pPr>
      <w:r w:rsidRPr="005D667A">
        <w:rPr>
          <w:rFonts w:cs="Arial"/>
          <w:sz w:val="22"/>
          <w:lang w:val="el-GR"/>
        </w:rPr>
        <w:t xml:space="preserve">Με τη </w:t>
      </w:r>
      <w:r w:rsidR="006351D4" w:rsidRPr="005D667A">
        <w:rPr>
          <w:rFonts w:cs="Arial"/>
          <w:sz w:val="22"/>
          <w:lang w:val="el-GR"/>
        </w:rPr>
        <w:t>χθεσινή</w:t>
      </w:r>
      <w:r w:rsidRPr="005D667A">
        <w:rPr>
          <w:rFonts w:cs="Arial"/>
          <w:sz w:val="22"/>
          <w:lang w:val="el-GR"/>
        </w:rPr>
        <w:t xml:space="preserve"> Απόφαση του Υπουργικού Συμβουλίου έχει εγκριθεί η πρόταση της Υπουργού Εργασίας, Πρόνοιας και Κοινωνικών Ασφαλίσεων για </w:t>
      </w:r>
      <w:r w:rsidR="00C373F1" w:rsidRPr="005D667A">
        <w:rPr>
          <w:rFonts w:cs="Arial"/>
          <w:sz w:val="22"/>
          <w:lang w:val="el-GR"/>
        </w:rPr>
        <w:t>να</w:t>
      </w:r>
      <w:r w:rsidRPr="005D667A">
        <w:rPr>
          <w:rFonts w:cs="Arial"/>
          <w:sz w:val="22"/>
          <w:lang w:val="el-GR"/>
        </w:rPr>
        <w:t xml:space="preserve"> </w:t>
      </w:r>
      <w:r w:rsidR="00C373F1" w:rsidRPr="005D667A">
        <w:rPr>
          <w:rFonts w:cs="Arial"/>
          <w:sz w:val="22"/>
          <w:lang w:val="el-GR"/>
        </w:rPr>
        <w:t xml:space="preserve">δημιουργηθεί </w:t>
      </w:r>
      <w:r w:rsidRPr="005D667A">
        <w:rPr>
          <w:rFonts w:cs="Arial"/>
          <w:sz w:val="22"/>
          <w:lang w:val="el-GR"/>
        </w:rPr>
        <w:t>το «</w:t>
      </w:r>
      <w:r w:rsidR="00C373F1" w:rsidRPr="005D667A">
        <w:rPr>
          <w:rFonts w:cs="Arial"/>
          <w:sz w:val="22"/>
          <w:lang w:val="el-GR"/>
        </w:rPr>
        <w:t xml:space="preserve">Σπίτι </w:t>
      </w:r>
      <w:r w:rsidRPr="005D667A">
        <w:rPr>
          <w:rFonts w:cs="Arial"/>
          <w:sz w:val="22"/>
          <w:lang w:val="el-GR"/>
        </w:rPr>
        <w:t xml:space="preserve">της Γυναίκας» και </w:t>
      </w:r>
      <w:r w:rsidR="00C373F1" w:rsidRPr="005D667A">
        <w:rPr>
          <w:rFonts w:cs="Arial"/>
          <w:sz w:val="22"/>
          <w:lang w:val="el-GR"/>
        </w:rPr>
        <w:t xml:space="preserve">να προωθηθούν οι αναγκαίες ενέργειες </w:t>
      </w:r>
      <w:r w:rsidRPr="005D667A">
        <w:rPr>
          <w:rFonts w:cs="Arial"/>
          <w:sz w:val="22"/>
          <w:lang w:val="el-GR"/>
        </w:rPr>
        <w:t>για τη λειτουργία του.</w:t>
      </w:r>
    </w:p>
    <w:p w:rsidR="0066201C" w:rsidRPr="005D667A" w:rsidRDefault="0066201C" w:rsidP="006D06E8">
      <w:pPr>
        <w:spacing w:line="276" w:lineRule="auto"/>
        <w:jc w:val="both"/>
        <w:rPr>
          <w:rFonts w:cs="Arial"/>
          <w:sz w:val="22"/>
          <w:lang w:val="el-GR"/>
        </w:rPr>
      </w:pPr>
    </w:p>
    <w:p w:rsidR="0066201C" w:rsidRPr="005D667A" w:rsidRDefault="0066201C" w:rsidP="006D06E8">
      <w:pPr>
        <w:spacing w:line="276" w:lineRule="auto"/>
        <w:jc w:val="both"/>
        <w:rPr>
          <w:rFonts w:cs="Arial"/>
          <w:sz w:val="22"/>
          <w:lang w:val="el-GR"/>
        </w:rPr>
      </w:pPr>
      <w:r w:rsidRPr="005D667A">
        <w:rPr>
          <w:rFonts w:cs="Arial"/>
          <w:sz w:val="22"/>
          <w:lang w:val="el-GR"/>
        </w:rPr>
        <w:t>Το «Σπίτι της Γυναίκας» θα λειτουργεί ως ένα διεπιστημονικό κέντρο, φιλικό προς τα θύματα βίας, όπου επαγγελματίες από διάφορες ειδικότητες και κρατικοί λειτουργοί, όπως κλινικοί ψυχολόγοι, κοινωνικοί λειτουργοί, ειδικά εκπαιδευμένα μέλη της Αστυνομίας κλπ, θα εργάζονται κάτω από την ίδια στέγη για σκοπούς παροχής της κατάλληλης στήριξης στα θύματα και τις οικογένειες τους, με τρόπο που να προάγει τα δικαιώματα και το συμφέρον των θυμάτων και μελών των οικογενειών τους.</w:t>
      </w:r>
    </w:p>
    <w:p w:rsidR="0066201C" w:rsidRPr="005D667A" w:rsidRDefault="0066201C" w:rsidP="006D06E8">
      <w:pPr>
        <w:spacing w:line="276" w:lineRule="auto"/>
        <w:jc w:val="both"/>
        <w:rPr>
          <w:rFonts w:cs="Arial"/>
          <w:sz w:val="22"/>
          <w:lang w:val="el-GR"/>
        </w:rPr>
      </w:pPr>
    </w:p>
    <w:p w:rsidR="0066201C" w:rsidRPr="005D667A" w:rsidRDefault="0066201C" w:rsidP="006D06E8">
      <w:pPr>
        <w:spacing w:line="276" w:lineRule="auto"/>
        <w:jc w:val="both"/>
        <w:rPr>
          <w:rFonts w:cs="Arial"/>
          <w:sz w:val="22"/>
          <w:lang w:val="el-GR"/>
        </w:rPr>
      </w:pPr>
      <w:r w:rsidRPr="005D667A">
        <w:rPr>
          <w:rFonts w:cs="Arial"/>
          <w:sz w:val="22"/>
          <w:lang w:val="el-GR"/>
        </w:rPr>
        <w:t>Οι υπηρεσίες που θα παρέχονται στο «Σπίτι της Γυναίκας» περιλαμβάνουν:</w:t>
      </w:r>
    </w:p>
    <w:p w:rsidR="0066201C" w:rsidRPr="005D667A" w:rsidRDefault="0066201C" w:rsidP="0066201C">
      <w:pPr>
        <w:pStyle w:val="ListParagraph"/>
        <w:numPr>
          <w:ilvl w:val="0"/>
          <w:numId w:val="4"/>
        </w:numPr>
        <w:spacing w:line="276" w:lineRule="auto"/>
        <w:jc w:val="both"/>
        <w:rPr>
          <w:rFonts w:cs="Arial"/>
          <w:sz w:val="22"/>
          <w:lang w:val="el-GR"/>
        </w:rPr>
      </w:pPr>
      <w:r w:rsidRPr="005D667A">
        <w:rPr>
          <w:rFonts w:cs="Arial"/>
          <w:sz w:val="22"/>
          <w:lang w:val="el-GR"/>
        </w:rPr>
        <w:t>Συμβουλευτική υποστήριξη των θυμάτων με στόχο την ενημέρωση και ενδυνάμωση</w:t>
      </w:r>
    </w:p>
    <w:p w:rsidR="0066201C" w:rsidRPr="005D667A" w:rsidRDefault="0066201C" w:rsidP="0066201C">
      <w:pPr>
        <w:pStyle w:val="ListParagraph"/>
        <w:numPr>
          <w:ilvl w:val="0"/>
          <w:numId w:val="4"/>
        </w:numPr>
        <w:spacing w:line="276" w:lineRule="auto"/>
        <w:jc w:val="both"/>
        <w:rPr>
          <w:rFonts w:cs="Arial"/>
          <w:sz w:val="22"/>
          <w:lang w:val="el-GR"/>
        </w:rPr>
      </w:pPr>
      <w:r w:rsidRPr="005D667A">
        <w:rPr>
          <w:rFonts w:cs="Arial"/>
          <w:sz w:val="22"/>
          <w:lang w:val="el-GR"/>
        </w:rPr>
        <w:t>Ενθάρρυνση και υποστήριξη ώστε να αναλάβουν την ευθύνη της επαγγελματικής, προσωπικής και οικογενειακής τους ζωής και να πάρουν οι ίδιες τις καλύτερες αποφάσεις για το μέλλον τους</w:t>
      </w:r>
      <w:r w:rsidR="00A817B7" w:rsidRPr="005D667A">
        <w:rPr>
          <w:rFonts w:cs="Arial"/>
          <w:sz w:val="22"/>
          <w:lang w:val="el-GR"/>
        </w:rPr>
        <w:t>.</w:t>
      </w:r>
    </w:p>
    <w:p w:rsidR="0066201C" w:rsidRPr="005D667A" w:rsidRDefault="0066201C" w:rsidP="0066201C">
      <w:pPr>
        <w:pStyle w:val="ListParagraph"/>
        <w:numPr>
          <w:ilvl w:val="0"/>
          <w:numId w:val="4"/>
        </w:numPr>
        <w:spacing w:line="276" w:lineRule="auto"/>
        <w:jc w:val="both"/>
        <w:rPr>
          <w:rFonts w:cs="Arial"/>
          <w:sz w:val="22"/>
          <w:lang w:val="el-GR"/>
        </w:rPr>
      </w:pPr>
      <w:r w:rsidRPr="005D667A">
        <w:rPr>
          <w:rFonts w:cs="Arial"/>
          <w:sz w:val="22"/>
          <w:lang w:val="el-GR"/>
        </w:rPr>
        <w:t>Ενθάρρυνση ώστε να βγουν από την απομόνωση και να κατανοήσουν ότι δεν είναι μόνες και δεν ευθύνονται για τη βία που υφίστανται</w:t>
      </w:r>
      <w:r w:rsidR="00A817B7" w:rsidRPr="005D667A">
        <w:rPr>
          <w:rFonts w:cs="Arial"/>
          <w:sz w:val="22"/>
          <w:lang w:val="el-GR"/>
        </w:rPr>
        <w:t>.</w:t>
      </w:r>
    </w:p>
    <w:p w:rsidR="0066201C" w:rsidRPr="005D667A" w:rsidRDefault="0066201C" w:rsidP="0066201C">
      <w:pPr>
        <w:pStyle w:val="ListParagraph"/>
        <w:numPr>
          <w:ilvl w:val="0"/>
          <w:numId w:val="4"/>
        </w:numPr>
        <w:spacing w:line="276" w:lineRule="auto"/>
        <w:jc w:val="both"/>
        <w:rPr>
          <w:rFonts w:cs="Arial"/>
          <w:sz w:val="22"/>
          <w:lang w:val="el-GR"/>
        </w:rPr>
      </w:pPr>
      <w:r w:rsidRPr="005D667A">
        <w:rPr>
          <w:rFonts w:cs="Arial"/>
          <w:sz w:val="22"/>
          <w:lang w:val="el-GR"/>
        </w:rPr>
        <w:t>Ατομική ψυχοκοινωνική συμβουλευτική στήριξη</w:t>
      </w:r>
      <w:r w:rsidR="00A817B7" w:rsidRPr="005D667A">
        <w:rPr>
          <w:rFonts w:cs="Arial"/>
          <w:sz w:val="22"/>
          <w:lang w:val="el-GR"/>
        </w:rPr>
        <w:t>.</w:t>
      </w:r>
    </w:p>
    <w:p w:rsidR="00A817B7" w:rsidRPr="005D667A" w:rsidRDefault="00A817B7" w:rsidP="0066201C">
      <w:pPr>
        <w:pStyle w:val="ListParagraph"/>
        <w:numPr>
          <w:ilvl w:val="0"/>
          <w:numId w:val="4"/>
        </w:numPr>
        <w:spacing w:line="276" w:lineRule="auto"/>
        <w:jc w:val="both"/>
        <w:rPr>
          <w:rFonts w:cs="Arial"/>
          <w:sz w:val="22"/>
          <w:lang w:val="el-GR"/>
        </w:rPr>
      </w:pPr>
      <w:r w:rsidRPr="005D667A">
        <w:rPr>
          <w:rFonts w:cs="Arial"/>
          <w:sz w:val="22"/>
          <w:lang w:val="el-GR"/>
        </w:rPr>
        <w:t>Νομική συμβουλευτική και πληροφόρηση και καθοδήγηση για τα δικαιώματα τους.</w:t>
      </w:r>
    </w:p>
    <w:p w:rsidR="00A817B7" w:rsidRPr="005D667A" w:rsidRDefault="00A817B7" w:rsidP="0066201C">
      <w:pPr>
        <w:pStyle w:val="ListParagraph"/>
        <w:numPr>
          <w:ilvl w:val="0"/>
          <w:numId w:val="4"/>
        </w:numPr>
        <w:spacing w:line="276" w:lineRule="auto"/>
        <w:jc w:val="both"/>
        <w:rPr>
          <w:rFonts w:cs="Arial"/>
          <w:sz w:val="22"/>
          <w:lang w:val="el-GR"/>
        </w:rPr>
      </w:pPr>
      <w:r w:rsidRPr="005D667A">
        <w:rPr>
          <w:rFonts w:cs="Arial"/>
          <w:sz w:val="22"/>
          <w:lang w:val="el-GR"/>
        </w:rPr>
        <w:t>Υπηρεσίες παραπομπής ή συνοδείας – όποτε αυτό απαιτείται – των θυμάτων σε καταφύγια, στην αστυνομία, στο δικαστήριο και όπου αλλού χρειάζεται.</w:t>
      </w:r>
    </w:p>
    <w:p w:rsidR="00A817B7" w:rsidRPr="005D667A" w:rsidRDefault="00A817B7" w:rsidP="00A817B7">
      <w:pPr>
        <w:spacing w:line="276" w:lineRule="auto"/>
        <w:jc w:val="both"/>
        <w:rPr>
          <w:rFonts w:cs="Arial"/>
          <w:lang w:val="el-GR"/>
        </w:rPr>
      </w:pPr>
    </w:p>
    <w:p w:rsidR="00A817B7" w:rsidRPr="005D667A" w:rsidRDefault="00A817B7" w:rsidP="00A817B7">
      <w:pPr>
        <w:spacing w:line="276" w:lineRule="auto"/>
        <w:jc w:val="both"/>
        <w:rPr>
          <w:rFonts w:cs="Arial"/>
          <w:sz w:val="22"/>
          <w:lang w:val="el-GR"/>
        </w:rPr>
      </w:pPr>
      <w:r w:rsidRPr="005D667A">
        <w:rPr>
          <w:rFonts w:cs="Arial"/>
          <w:sz w:val="22"/>
          <w:lang w:val="el-GR"/>
        </w:rPr>
        <w:t xml:space="preserve">Επιπλέον, το Υπουργικό Συμβούλιο αποφάσισε όπως εγκρίνει: </w:t>
      </w:r>
    </w:p>
    <w:p w:rsidR="00A817B7" w:rsidRPr="005D667A" w:rsidRDefault="00A817B7" w:rsidP="00A817B7">
      <w:pPr>
        <w:pStyle w:val="ListParagraph"/>
        <w:numPr>
          <w:ilvl w:val="0"/>
          <w:numId w:val="5"/>
        </w:numPr>
        <w:spacing w:line="276" w:lineRule="auto"/>
        <w:jc w:val="both"/>
        <w:rPr>
          <w:rFonts w:cs="Arial"/>
          <w:sz w:val="22"/>
          <w:lang w:val="el-GR"/>
        </w:rPr>
      </w:pPr>
      <w:r w:rsidRPr="005D667A">
        <w:rPr>
          <w:rFonts w:cs="Arial"/>
          <w:sz w:val="22"/>
          <w:lang w:val="el-GR"/>
        </w:rPr>
        <w:t xml:space="preserve">τη σύσταση </w:t>
      </w:r>
      <w:r w:rsidRPr="005D667A">
        <w:rPr>
          <w:rFonts w:cs="Arial"/>
          <w:sz w:val="22"/>
        </w:rPr>
        <w:t>Ad</w:t>
      </w:r>
      <w:r w:rsidRPr="005D667A">
        <w:rPr>
          <w:rFonts w:cs="Arial"/>
          <w:sz w:val="22"/>
          <w:lang w:val="el-GR"/>
        </w:rPr>
        <w:t>-</w:t>
      </w:r>
      <w:r w:rsidRPr="005D667A">
        <w:rPr>
          <w:rFonts w:cs="Arial"/>
          <w:sz w:val="22"/>
        </w:rPr>
        <w:t>Hoc</w:t>
      </w:r>
      <w:r w:rsidRPr="005D667A">
        <w:rPr>
          <w:rFonts w:cs="Arial"/>
          <w:sz w:val="22"/>
          <w:lang w:val="el-GR"/>
        </w:rPr>
        <w:t xml:space="preserve"> επιτροπής αποτελούμενης από τους Υπουργούς Εργασίας, Πρόνοιας και Κοινωνικών Ασφαλίσεων, Δικαιοσύνης και Δημοσίας Τάξεως και Υγείας με αποστολή την εποπτεία των ενεργειών που απαιτούνται για τη λειτουργία του «Σπιτιού της Γυναίκας»</w:t>
      </w:r>
    </w:p>
    <w:p w:rsidR="00A817B7" w:rsidRPr="005D667A" w:rsidRDefault="00A817B7" w:rsidP="00A817B7">
      <w:pPr>
        <w:pStyle w:val="ListParagraph"/>
        <w:numPr>
          <w:ilvl w:val="0"/>
          <w:numId w:val="5"/>
        </w:numPr>
        <w:spacing w:line="276" w:lineRule="auto"/>
        <w:jc w:val="both"/>
        <w:rPr>
          <w:rFonts w:cs="Arial"/>
          <w:sz w:val="22"/>
          <w:lang w:val="el-GR"/>
        </w:rPr>
      </w:pPr>
      <w:r w:rsidRPr="005D667A">
        <w:rPr>
          <w:rFonts w:cs="Arial"/>
          <w:sz w:val="22"/>
          <w:lang w:val="el-GR"/>
        </w:rPr>
        <w:t xml:space="preserve">το διορισμό της κας </w:t>
      </w:r>
      <w:proofErr w:type="spellStart"/>
      <w:r w:rsidRPr="005D667A">
        <w:rPr>
          <w:rFonts w:cs="Arial"/>
          <w:sz w:val="22"/>
          <w:lang w:val="el-GR"/>
        </w:rPr>
        <w:t>Σουζάνας</w:t>
      </w:r>
      <w:proofErr w:type="spellEnd"/>
      <w:r w:rsidRPr="005D667A">
        <w:rPr>
          <w:rFonts w:cs="Arial"/>
          <w:sz w:val="22"/>
          <w:lang w:val="el-GR"/>
        </w:rPr>
        <w:t xml:space="preserve"> Παύλου, Πρόεδρου της Συμβουλευτικής Επιτροπής για την Πρόληψη και Καταπολέμηση της Βίας στην Οικογένεια και των μελών της Συμβουλευτικής Επιτροπής για την Πρόληψη και Καταπολέμηση της Βίας στην Οικογένεια, ως Συντονιστών για τη λειτουργία του «Σπιτιού της Γυναίκας»,</w:t>
      </w:r>
    </w:p>
    <w:p w:rsidR="00A817B7" w:rsidRPr="005D667A" w:rsidRDefault="00A817B7" w:rsidP="00A817B7">
      <w:pPr>
        <w:spacing w:line="276" w:lineRule="auto"/>
        <w:jc w:val="both"/>
        <w:rPr>
          <w:rFonts w:cs="Arial"/>
          <w:sz w:val="22"/>
          <w:lang w:val="el-GR"/>
        </w:rPr>
      </w:pPr>
    </w:p>
    <w:p w:rsidR="002C2CB6" w:rsidRDefault="002C2CB6" w:rsidP="006D06E8">
      <w:pPr>
        <w:spacing w:line="276" w:lineRule="auto"/>
        <w:jc w:val="both"/>
        <w:rPr>
          <w:rFonts w:cs="Arial"/>
          <w:b/>
          <w:lang w:val="el-GR"/>
        </w:rPr>
      </w:pPr>
    </w:p>
    <w:p w:rsidR="00B42023" w:rsidRPr="00B42023" w:rsidRDefault="006351D4" w:rsidP="006D06E8">
      <w:pPr>
        <w:spacing w:line="276" w:lineRule="auto"/>
        <w:jc w:val="both"/>
        <w:rPr>
          <w:b/>
          <w:lang w:val="el-GR"/>
        </w:rPr>
      </w:pPr>
      <w:r>
        <w:rPr>
          <w:rFonts w:cs="Arial"/>
          <w:b/>
          <w:lang w:val="el-GR"/>
        </w:rPr>
        <w:t>24</w:t>
      </w:r>
      <w:r w:rsidR="0066201C">
        <w:rPr>
          <w:rFonts w:cs="Arial"/>
          <w:b/>
          <w:lang w:val="el-GR"/>
        </w:rPr>
        <w:t xml:space="preserve"> Ιανουαρίου 2019</w:t>
      </w:r>
    </w:p>
    <w:sectPr w:rsidR="00B42023" w:rsidRPr="00B42023" w:rsidSect="000B537D">
      <w:headerReference w:type="first" r:id="rId9"/>
      <w:pgSz w:w="11906" w:h="16838"/>
      <w:pgMar w:top="1276" w:right="141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3D" w:rsidRDefault="0018283D" w:rsidP="00286439">
      <w:r>
        <w:separator/>
      </w:r>
    </w:p>
  </w:endnote>
  <w:endnote w:type="continuationSeparator" w:id="0">
    <w:p w:rsidR="0018283D" w:rsidRDefault="0018283D" w:rsidP="002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3D" w:rsidRDefault="0018283D" w:rsidP="00286439">
      <w:r>
        <w:separator/>
      </w:r>
    </w:p>
  </w:footnote>
  <w:footnote w:type="continuationSeparator" w:id="0">
    <w:p w:rsidR="0018283D" w:rsidRDefault="0018283D" w:rsidP="00286439">
      <w:r>
        <w:continuationSeparator/>
      </w:r>
    </w:p>
  </w:footnote>
  <w:footnote w:id="1">
    <w:p w:rsidR="005D667A" w:rsidRPr="005D667A" w:rsidRDefault="005D667A">
      <w:pPr>
        <w:pStyle w:val="FootnoteText"/>
        <w:rPr>
          <w:lang w:val="el-GR"/>
        </w:rPr>
      </w:pPr>
      <w:r>
        <w:rPr>
          <w:rStyle w:val="FootnoteReference"/>
        </w:rPr>
        <w:footnoteRef/>
      </w:r>
      <w:r w:rsidRPr="005D667A">
        <w:rPr>
          <w:lang w:val="el-GR"/>
        </w:rPr>
        <w:t xml:space="preserve"> </w:t>
      </w:r>
      <w:r>
        <w:rPr>
          <w:lang w:val="el-GR"/>
        </w:rPr>
        <w:t>Η αύξηση αναφορικά με την υψηλότερη εισοδηματική κατηγορία δικαιούχων εξαρτάται από το πόσο κοντά είναι το ετήσιο εισόδημα του δικαιούχου στο ανώτατο εισοδηματικό όριο για το επίδομα, αφού βάσει των προνοιών του Σχεδίου, το επίδομα μαζί με το εισόδημα δεν μπορούν να ξεπερνούν το καθορισμένο εισοδηματικό όριο.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1C" w:rsidRPr="00286439" w:rsidRDefault="0066201C" w:rsidP="0066201C">
    <w:pPr>
      <w:jc w:val="center"/>
      <w:rPr>
        <w:b/>
        <w:sz w:val="32"/>
        <w:u w:val="single"/>
        <w:lang w:val="el-GR"/>
      </w:rPr>
    </w:pPr>
    <w:r>
      <w:rPr>
        <w:b/>
        <w:sz w:val="32"/>
        <w:u w:val="single"/>
        <w:lang w:val="el-GR"/>
      </w:rPr>
      <w:t>ΑΝΑΚΟΙΝΩΣΗ</w:t>
    </w:r>
  </w:p>
  <w:p w:rsidR="0066201C" w:rsidRDefault="00662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7096"/>
    <w:multiLevelType w:val="hybridMultilevel"/>
    <w:tmpl w:val="E884B990"/>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0851FD"/>
    <w:multiLevelType w:val="hybridMultilevel"/>
    <w:tmpl w:val="EACE7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A102B7"/>
    <w:multiLevelType w:val="hybridMultilevel"/>
    <w:tmpl w:val="CE0C573C"/>
    <w:lvl w:ilvl="0" w:tplc="046025F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9A53A5"/>
    <w:multiLevelType w:val="hybridMultilevel"/>
    <w:tmpl w:val="85C0919E"/>
    <w:lvl w:ilvl="0" w:tplc="2EFE3916">
      <w:start w:val="1"/>
      <mc:AlternateContent>
        <mc:Choice Requires="w14">
          <w:numFmt w:val="custom" w:format="α, β, γ, ..."/>
        </mc:Choice>
        <mc:Fallback>
          <w:numFmt w:val="decimal"/>
        </mc:Fallback>
      </mc:AlternateContent>
      <w:lvlText w:val="(%1)"/>
      <w:lvlJc w:val="left"/>
      <w:pPr>
        <w:ind w:left="720" w:hanging="360"/>
      </w:pPr>
      <w:rPr>
        <w:rFonts w:ascii="Arial" w:hAnsi="Arial" w:cs="Arial"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CDC03DB"/>
    <w:multiLevelType w:val="hybridMultilevel"/>
    <w:tmpl w:val="2522D5B8"/>
    <w:lvl w:ilvl="0" w:tplc="046025FA">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E2"/>
    <w:rsid w:val="00042C40"/>
    <w:rsid w:val="000B537D"/>
    <w:rsid w:val="000C2145"/>
    <w:rsid w:val="000E2A60"/>
    <w:rsid w:val="000F0A51"/>
    <w:rsid w:val="0017341C"/>
    <w:rsid w:val="0018283D"/>
    <w:rsid w:val="001B0CD9"/>
    <w:rsid w:val="001B0E3B"/>
    <w:rsid w:val="00286439"/>
    <w:rsid w:val="002C2CB6"/>
    <w:rsid w:val="003520A4"/>
    <w:rsid w:val="00352825"/>
    <w:rsid w:val="003C1849"/>
    <w:rsid w:val="004209A5"/>
    <w:rsid w:val="00461291"/>
    <w:rsid w:val="004A2711"/>
    <w:rsid w:val="004E7B24"/>
    <w:rsid w:val="0055335F"/>
    <w:rsid w:val="005558ED"/>
    <w:rsid w:val="005D667A"/>
    <w:rsid w:val="005F70A5"/>
    <w:rsid w:val="006351D4"/>
    <w:rsid w:val="006379EF"/>
    <w:rsid w:val="00652494"/>
    <w:rsid w:val="0066201C"/>
    <w:rsid w:val="00672139"/>
    <w:rsid w:val="00676FFB"/>
    <w:rsid w:val="006A24CF"/>
    <w:rsid w:val="006A457E"/>
    <w:rsid w:val="006D06E8"/>
    <w:rsid w:val="00787605"/>
    <w:rsid w:val="007E27F6"/>
    <w:rsid w:val="007F7B3D"/>
    <w:rsid w:val="008A1B49"/>
    <w:rsid w:val="00A4375A"/>
    <w:rsid w:val="00A817B7"/>
    <w:rsid w:val="00A8689F"/>
    <w:rsid w:val="00AE1CF5"/>
    <w:rsid w:val="00B35B06"/>
    <w:rsid w:val="00B3638F"/>
    <w:rsid w:val="00B42023"/>
    <w:rsid w:val="00C20CFF"/>
    <w:rsid w:val="00C3459C"/>
    <w:rsid w:val="00C373F1"/>
    <w:rsid w:val="00C414A8"/>
    <w:rsid w:val="00CA4167"/>
    <w:rsid w:val="00D26B01"/>
    <w:rsid w:val="00D836FE"/>
    <w:rsid w:val="00D92066"/>
    <w:rsid w:val="00DA23A4"/>
    <w:rsid w:val="00DA249A"/>
    <w:rsid w:val="00DC3F06"/>
    <w:rsid w:val="00DF5F98"/>
    <w:rsid w:val="00E54E72"/>
    <w:rsid w:val="00E66A31"/>
    <w:rsid w:val="00EB704B"/>
    <w:rsid w:val="00F23E45"/>
    <w:rsid w:val="00F87C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 w:type="paragraph" w:styleId="ListParagraph">
    <w:name w:val="List Paragraph"/>
    <w:basedOn w:val="Normal"/>
    <w:uiPriority w:val="34"/>
    <w:qFormat/>
    <w:rsid w:val="00787605"/>
    <w:pPr>
      <w:ind w:left="720"/>
      <w:contextualSpacing/>
    </w:pPr>
  </w:style>
  <w:style w:type="table" w:styleId="TableGrid">
    <w:name w:val="Table Grid"/>
    <w:basedOn w:val="TableNormal"/>
    <w:uiPriority w:val="59"/>
    <w:rsid w:val="00B35B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67A"/>
    <w:rPr>
      <w:sz w:val="20"/>
      <w:szCs w:val="20"/>
    </w:rPr>
  </w:style>
  <w:style w:type="character" w:customStyle="1" w:styleId="FootnoteTextChar">
    <w:name w:val="Footnote Text Char"/>
    <w:basedOn w:val="DefaultParagraphFont"/>
    <w:link w:val="FootnoteText"/>
    <w:uiPriority w:val="99"/>
    <w:semiHidden/>
    <w:rsid w:val="005D667A"/>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5D667A"/>
    <w:rPr>
      <w:vertAlign w:val="superscript"/>
    </w:rPr>
  </w:style>
  <w:style w:type="character" w:styleId="PlaceholderText">
    <w:name w:val="Placeholder Text"/>
    <w:basedOn w:val="DefaultParagraphFont"/>
    <w:uiPriority w:val="99"/>
    <w:semiHidden/>
    <w:rsid w:val="0017341C"/>
    <w:rPr>
      <w:color w:val="808080"/>
    </w:rPr>
  </w:style>
  <w:style w:type="paragraph" w:styleId="BalloonText">
    <w:name w:val="Balloon Text"/>
    <w:basedOn w:val="Normal"/>
    <w:link w:val="BalloonTextChar"/>
    <w:uiPriority w:val="99"/>
    <w:semiHidden/>
    <w:unhideWhenUsed/>
    <w:rsid w:val="0017341C"/>
    <w:rPr>
      <w:rFonts w:ascii="Tahoma" w:hAnsi="Tahoma" w:cs="Tahoma"/>
      <w:sz w:val="16"/>
      <w:szCs w:val="16"/>
    </w:rPr>
  </w:style>
  <w:style w:type="character" w:customStyle="1" w:styleId="BalloonTextChar">
    <w:name w:val="Balloon Text Char"/>
    <w:basedOn w:val="DefaultParagraphFont"/>
    <w:link w:val="BalloonText"/>
    <w:uiPriority w:val="99"/>
    <w:semiHidden/>
    <w:rsid w:val="0017341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 w:type="paragraph" w:styleId="ListParagraph">
    <w:name w:val="List Paragraph"/>
    <w:basedOn w:val="Normal"/>
    <w:uiPriority w:val="34"/>
    <w:qFormat/>
    <w:rsid w:val="00787605"/>
    <w:pPr>
      <w:ind w:left="720"/>
      <w:contextualSpacing/>
    </w:pPr>
  </w:style>
  <w:style w:type="table" w:styleId="TableGrid">
    <w:name w:val="Table Grid"/>
    <w:basedOn w:val="TableNormal"/>
    <w:uiPriority w:val="59"/>
    <w:rsid w:val="00B35B0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667A"/>
    <w:rPr>
      <w:sz w:val="20"/>
      <w:szCs w:val="20"/>
    </w:rPr>
  </w:style>
  <w:style w:type="character" w:customStyle="1" w:styleId="FootnoteTextChar">
    <w:name w:val="Footnote Text Char"/>
    <w:basedOn w:val="DefaultParagraphFont"/>
    <w:link w:val="FootnoteText"/>
    <w:uiPriority w:val="99"/>
    <w:semiHidden/>
    <w:rsid w:val="005D667A"/>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5D667A"/>
    <w:rPr>
      <w:vertAlign w:val="superscript"/>
    </w:rPr>
  </w:style>
  <w:style w:type="character" w:styleId="PlaceholderText">
    <w:name w:val="Placeholder Text"/>
    <w:basedOn w:val="DefaultParagraphFont"/>
    <w:uiPriority w:val="99"/>
    <w:semiHidden/>
    <w:rsid w:val="0017341C"/>
    <w:rPr>
      <w:color w:val="808080"/>
    </w:rPr>
  </w:style>
  <w:style w:type="paragraph" w:styleId="BalloonText">
    <w:name w:val="Balloon Text"/>
    <w:basedOn w:val="Normal"/>
    <w:link w:val="BalloonTextChar"/>
    <w:uiPriority w:val="99"/>
    <w:semiHidden/>
    <w:unhideWhenUsed/>
    <w:rsid w:val="0017341C"/>
    <w:rPr>
      <w:rFonts w:ascii="Tahoma" w:hAnsi="Tahoma" w:cs="Tahoma"/>
      <w:sz w:val="16"/>
      <w:szCs w:val="16"/>
    </w:rPr>
  </w:style>
  <w:style w:type="character" w:customStyle="1" w:styleId="BalloonTextChar">
    <w:name w:val="Balloon Text Char"/>
    <w:basedOn w:val="DefaultParagraphFont"/>
    <w:link w:val="BalloonText"/>
    <w:uiPriority w:val="99"/>
    <w:semiHidden/>
    <w:rsid w:val="0017341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401D-8313-48E6-83D3-9426FD9B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763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Φάνος Κουρουφέξης</dc:creator>
  <cp:lastModifiedBy>Phanos Kouroufexis</cp:lastModifiedBy>
  <cp:revision>9</cp:revision>
  <cp:lastPrinted>2019-01-24T08:09:00Z</cp:lastPrinted>
  <dcterms:created xsi:type="dcterms:W3CDTF">2019-01-17T05:12:00Z</dcterms:created>
  <dcterms:modified xsi:type="dcterms:W3CDTF">2019-01-24T08:16:00Z</dcterms:modified>
</cp:coreProperties>
</file>